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80" w:rightFromText="180" w:vertAnchor="text" w:horzAnchor="margin" w:tblpY="-414"/>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38267E" w:rsidRPr="00D620B3" w14:paraId="16EC4B03" w14:textId="77777777" w:rsidTr="001E6490">
        <w:trPr>
          <w:trHeight w:val="772"/>
        </w:trPr>
        <w:tc>
          <w:tcPr>
            <w:tcW w:w="10348" w:type="dxa"/>
          </w:tcPr>
          <w:p w14:paraId="048900B1" w14:textId="77777777" w:rsidR="0038267E" w:rsidRPr="00D620B3" w:rsidRDefault="0038267E" w:rsidP="005C33EA">
            <w:pPr>
              <w:spacing w:after="100" w:line="288" w:lineRule="auto"/>
              <w:rPr>
                <w:rFonts w:ascii="NimbusRomNo9L" w:eastAsia="MS Mincho" w:hAnsi="NimbusRomNo9L"/>
                <w:noProof/>
                <w:sz w:val="48"/>
                <w:szCs w:val="48"/>
              </w:rPr>
            </w:pPr>
            <w:r w:rsidRPr="00D620B3">
              <w:rPr>
                <w:rFonts w:ascii="NimbusRomNo9L" w:eastAsia="MS Mincho" w:hAnsi="NimbusRomNo9L"/>
                <w:noProof/>
                <w:sz w:val="48"/>
                <w:szCs w:val="48"/>
              </w:rPr>
              <w:t>Guidelines for an ESREF Abstract</w:t>
            </w:r>
          </w:p>
        </w:tc>
      </w:tr>
      <w:tr w:rsidR="0038267E" w:rsidRPr="00D620B3" w14:paraId="6C102B03" w14:textId="77777777" w:rsidTr="001E6490">
        <w:trPr>
          <w:trHeight w:val="772"/>
        </w:trPr>
        <w:tc>
          <w:tcPr>
            <w:tcW w:w="10348" w:type="dxa"/>
          </w:tcPr>
          <w:p w14:paraId="1DB8949B" w14:textId="76DB3774" w:rsidR="00626202" w:rsidRPr="00D620B3" w:rsidRDefault="00626202" w:rsidP="005C33EA">
            <w:pPr>
              <w:spacing w:line="240" w:lineRule="exact"/>
              <w:rPr>
                <w:rFonts w:ascii="NimbusRomNo9L" w:hAnsi="NimbusRomNo9L"/>
                <w:noProof/>
                <w:sz w:val="22"/>
                <w:szCs w:val="22"/>
                <w:vertAlign w:val="superscript"/>
              </w:rPr>
            </w:pPr>
            <w:r w:rsidRPr="00D620B3">
              <w:rPr>
                <w:rFonts w:ascii="NimbusRomNo9L" w:hAnsi="NimbusRomNo9L"/>
                <w:noProof/>
                <w:sz w:val="22"/>
                <w:szCs w:val="22"/>
              </w:rPr>
              <w:t xml:space="preserve">A. </w:t>
            </w:r>
            <w:r w:rsidR="0038267E" w:rsidRPr="00D620B3">
              <w:rPr>
                <w:rFonts w:ascii="NimbusRomNo9L" w:hAnsi="NimbusRomNo9L"/>
                <w:noProof/>
                <w:sz w:val="22"/>
                <w:szCs w:val="22"/>
              </w:rPr>
              <w:t>Author</w:t>
            </w:r>
            <w:r w:rsidR="0038267E" w:rsidRPr="00D620B3">
              <w:rPr>
                <w:rFonts w:ascii="NimbusRomNo9L" w:hAnsi="NimbusRomNo9L"/>
                <w:noProof/>
                <w:sz w:val="22"/>
                <w:szCs w:val="22"/>
                <w:vertAlign w:val="superscript"/>
              </w:rPr>
              <w:t>1</w:t>
            </w:r>
            <w:r w:rsidR="0038267E" w:rsidRPr="00D620B3">
              <w:rPr>
                <w:rFonts w:ascii="NimbusRomNo9L" w:hAnsi="NimbusRomNo9L"/>
                <w:noProof/>
                <w:sz w:val="22"/>
                <w:szCs w:val="22"/>
              </w:rPr>
              <w:t>, B. Author</w:t>
            </w:r>
            <w:r w:rsidR="0038267E" w:rsidRPr="00D620B3">
              <w:rPr>
                <w:rFonts w:ascii="NimbusRomNo9L" w:hAnsi="NimbusRomNo9L"/>
                <w:noProof/>
                <w:sz w:val="22"/>
                <w:szCs w:val="22"/>
                <w:vertAlign w:val="superscript"/>
              </w:rPr>
              <w:t>2</w:t>
            </w:r>
            <w:r w:rsidR="0038267E" w:rsidRPr="00D620B3">
              <w:rPr>
                <w:rFonts w:ascii="NimbusRomNo9L" w:hAnsi="NimbusRomNo9L"/>
                <w:noProof/>
                <w:sz w:val="22"/>
                <w:szCs w:val="22"/>
              </w:rPr>
              <w:t>, and C. Author</w:t>
            </w:r>
            <w:r w:rsidR="0038267E" w:rsidRPr="00D620B3">
              <w:rPr>
                <w:rFonts w:ascii="NimbusRomNo9L" w:hAnsi="NimbusRomNo9L"/>
                <w:noProof/>
                <w:sz w:val="22"/>
                <w:szCs w:val="22"/>
                <w:vertAlign w:val="superscript"/>
              </w:rPr>
              <w:t>3</w:t>
            </w:r>
          </w:p>
          <w:p w14:paraId="4DB1F7F9" w14:textId="1CF6E840" w:rsidR="0038267E" w:rsidRPr="00D620B3" w:rsidRDefault="0038267E" w:rsidP="005C33EA">
            <w:pPr>
              <w:spacing w:line="240" w:lineRule="exact"/>
              <w:rPr>
                <w:rFonts w:ascii="NimbusRomNo9L" w:hAnsi="NimbusRomNo9L"/>
              </w:rPr>
            </w:pPr>
            <w:r w:rsidRPr="00D620B3">
              <w:rPr>
                <w:rFonts w:ascii="NimbusRomNo9L" w:hAnsi="NimbusRomNo9L"/>
                <w:vertAlign w:val="superscript"/>
              </w:rPr>
              <w:t>1</w:t>
            </w:r>
            <w:r w:rsidRPr="00D620B3">
              <w:rPr>
                <w:rFonts w:ascii="NimbusRomNo9L" w:hAnsi="NimbusRomNo9L"/>
              </w:rPr>
              <w:t>Institute for Microelectronics, TU Wien, Vienna, Austria, email: a.author@tuwien.ac.at</w:t>
            </w:r>
          </w:p>
          <w:p w14:paraId="5A2F8D85" w14:textId="34A8D865" w:rsidR="0038267E" w:rsidRPr="00D620B3" w:rsidRDefault="0038267E" w:rsidP="005C33EA">
            <w:pPr>
              <w:spacing w:line="240" w:lineRule="exact"/>
              <w:rPr>
                <w:rFonts w:ascii="NimbusRomNo9L" w:hAnsi="NimbusRomNo9L"/>
              </w:rPr>
            </w:pPr>
            <w:r w:rsidRPr="00D620B3">
              <w:rPr>
                <w:rFonts w:ascii="NimbusRomNo9L" w:hAnsi="NimbusRomNo9L"/>
                <w:vertAlign w:val="superscript"/>
              </w:rPr>
              <w:t>2</w:t>
            </w:r>
            <w:r w:rsidRPr="00D620B3">
              <w:rPr>
                <w:rFonts w:ascii="NimbusRomNo9L" w:hAnsi="NimbusRomNo9L"/>
              </w:rPr>
              <w:t>Company B, CA, USA</w:t>
            </w:r>
            <w:r w:rsidR="00D620B3" w:rsidRPr="00D620B3">
              <w:rPr>
                <w:rFonts w:ascii="NimbusRomNo9L" w:hAnsi="NimbusRomNo9L"/>
              </w:rPr>
              <w:t>,</w:t>
            </w:r>
            <w:r w:rsidRPr="00D620B3">
              <w:rPr>
                <w:rFonts w:ascii="NimbusRomNo9L" w:hAnsi="NimbusRomNo9L"/>
              </w:rPr>
              <w:t xml:space="preserve"> </w:t>
            </w:r>
            <w:r w:rsidRPr="00D620B3">
              <w:rPr>
                <w:rFonts w:ascii="NimbusRomNo9L" w:hAnsi="NimbusRomNo9L"/>
                <w:vertAlign w:val="superscript"/>
              </w:rPr>
              <w:t>3</w:t>
            </w:r>
            <w:r w:rsidRPr="00D620B3">
              <w:rPr>
                <w:rFonts w:ascii="NimbusRomNo9L" w:hAnsi="NimbusRomNo9L"/>
              </w:rPr>
              <w:t>Company C, Berlin, Germany</w:t>
            </w:r>
          </w:p>
          <w:p w14:paraId="1B50210A" w14:textId="1628247B" w:rsidR="00626202" w:rsidRPr="00315D73" w:rsidRDefault="00626202" w:rsidP="005C33EA">
            <w:pPr>
              <w:rPr>
                <w:rFonts w:ascii="NimbusRomNo9L" w:hAnsi="NimbusRomNo9L"/>
              </w:rPr>
            </w:pPr>
          </w:p>
        </w:tc>
      </w:tr>
    </w:tbl>
    <w:p w14:paraId="6CFB3115" w14:textId="60773BD6" w:rsidR="0038267E" w:rsidRPr="001E6490" w:rsidRDefault="00D620B3" w:rsidP="005C33EA">
      <w:pPr>
        <w:kinsoku w:val="0"/>
        <w:overflowPunct w:val="0"/>
        <w:autoSpaceDE w:val="0"/>
        <w:autoSpaceDN w:val="0"/>
        <w:adjustRightInd w:val="0"/>
        <w:spacing w:line="230" w:lineRule="exact"/>
        <w:jc w:val="both"/>
        <w:rPr>
          <w:rFonts w:ascii="Gill Sans MT" w:eastAsiaTheme="minorHAnsi" w:hAnsi="Gill Sans MT" w:cs="Gill Sans MT"/>
          <w:spacing w:val="-2"/>
          <w14:ligatures w14:val="standardContextual"/>
        </w:rPr>
      </w:pPr>
      <w:bookmarkStart w:id="0" w:name="Introduction"/>
      <w:bookmarkStart w:id="1" w:name="Ease_of_Use"/>
      <w:bookmarkStart w:id="2" w:name="Template_(Heading_2)"/>
      <w:bookmarkStart w:id="3" w:name="Maintaining_the_Integrity_of_the_Specifi"/>
      <w:bookmarkStart w:id="4" w:name="Conference_Paper_Preparation"/>
      <w:bookmarkStart w:id="5" w:name="Abbreviations_and_Acronyms"/>
      <w:bookmarkStart w:id="6" w:name="Units"/>
      <w:bookmarkStart w:id="7" w:name="Equations"/>
      <w:bookmarkEnd w:id="0"/>
      <w:bookmarkEnd w:id="1"/>
      <w:bookmarkEnd w:id="2"/>
      <w:bookmarkEnd w:id="3"/>
      <w:bookmarkEnd w:id="4"/>
      <w:bookmarkEnd w:id="5"/>
      <w:bookmarkEnd w:id="6"/>
      <w:bookmarkEnd w:id="7"/>
      <w:r w:rsidRPr="00D620B3">
        <w:rPr>
          <w:rFonts w:ascii="NimbusRomNo9L" w:eastAsiaTheme="minorHAnsi" w:hAnsi="NimbusRomNo9L"/>
          <w:b/>
          <w:bCs/>
          <w:i/>
          <w:iCs/>
          <w:spacing w:val="-2"/>
          <w14:ligatures w14:val="standardContextual"/>
        </w:rPr>
        <w:t>Abstract</w:t>
      </w:r>
      <w:r w:rsidRPr="00D620B3">
        <w:rPr>
          <w:rFonts w:ascii="NimbusRomNo9L" w:eastAsiaTheme="minorHAnsi" w:hAnsi="NimbusRomNo9L" w:cs="Gill Sans MT"/>
          <w:spacing w:val="-2"/>
          <w14:ligatures w14:val="standardContextual"/>
        </w:rPr>
        <w:t>—</w:t>
      </w:r>
      <w:r w:rsidRPr="00D620B3">
        <w:rPr>
          <w:rFonts w:ascii="NimbusRomNo9L" w:eastAsia="MS Mincho" w:hAnsi="NimbusRomNo9L"/>
        </w:rPr>
        <w:t>Basic guidelines for the preparation of</w:t>
      </w:r>
      <w:r>
        <w:rPr>
          <w:rFonts w:ascii="NimbusRomNo9L" w:eastAsia="MS Mincho" w:hAnsi="NimbusRomNo9L"/>
        </w:rPr>
        <w:t xml:space="preserve"> </w:t>
      </w:r>
      <w:r w:rsidR="0038267E" w:rsidRPr="00D620B3">
        <w:rPr>
          <w:rFonts w:ascii="NimbusRomNo9L" w:eastAsia="MS Mincho" w:hAnsi="NimbusRomNo9L"/>
        </w:rPr>
        <w:t xml:space="preserve">an abstract for the ESREF conference are presented. This electronic document is a “live” template, meaning that it might see occasional updates aimed at clarification. The various components of your paper [title, text, headings, etc.] are already defined, as illustrated by the portions given in this document. </w:t>
      </w:r>
      <w:r w:rsidR="0038267E" w:rsidRPr="00D620B3">
        <w:rPr>
          <w:rFonts w:ascii="NimbusRomNo9L" w:hAnsi="NimbusRomNo9L"/>
          <w:lang w:eastAsia="ja-JP"/>
        </w:rPr>
        <w:t xml:space="preserve">The maximum length of the abstract is 4 pages consisting of text and figures. </w:t>
      </w:r>
      <w:r w:rsidR="0038267E" w:rsidRPr="00D620B3">
        <w:rPr>
          <w:rFonts w:ascii="NimbusRomNo9L" w:hAnsi="NimbusRomNo9L"/>
        </w:rPr>
        <w:t>It should concisely state what was done, how it was done, principal results, and their significance.</w:t>
      </w:r>
    </w:p>
    <w:p w14:paraId="0E4348A6" w14:textId="08846545" w:rsidR="000817B4" w:rsidRPr="00773DAD" w:rsidRDefault="00C12FE3" w:rsidP="00773DAD">
      <w:pPr>
        <w:pStyle w:val="berschrift1"/>
        <w:spacing w:line="24" w:lineRule="atLeast"/>
      </w:pPr>
      <w:r>
        <w:t>Introduction</w:t>
      </w:r>
    </w:p>
    <w:p w14:paraId="67E07348" w14:textId="0F56C153" w:rsidR="0038267E" w:rsidRPr="000817B4" w:rsidRDefault="0038267E" w:rsidP="009B7EA5">
      <w:pPr>
        <w:pStyle w:val="Textkrper"/>
        <w:spacing w:line="230" w:lineRule="exact"/>
        <w:ind w:firstLine="289"/>
        <w:rPr>
          <w:rFonts w:ascii="NimbusRomNo9L" w:eastAsia="MS Mincho" w:hAnsi="NimbusRomNo9L"/>
          <w:spacing w:val="0"/>
        </w:rPr>
      </w:pPr>
      <w:r w:rsidRPr="000817B4">
        <w:rPr>
          <w:rFonts w:ascii="NimbusRomNo9L" w:eastAsia="MS Mincho" w:hAnsi="NimbusRomNo9L"/>
          <w:spacing w:val="0"/>
        </w:rPr>
        <w:t xml:space="preserve">This template provides authors with most of the formatting specifications needed for preparing electronic versions of ESREF abstracts. All standard paper components have been specified for three reasons: (1) ease of use when formatting individual papers, (2) automatic compliance </w:t>
      </w:r>
      <w:proofErr w:type="gramStart"/>
      <w:r w:rsidRPr="000817B4">
        <w:rPr>
          <w:rFonts w:ascii="NimbusRomNo9L" w:eastAsia="MS Mincho" w:hAnsi="NimbusRomNo9L"/>
          <w:spacing w:val="0"/>
        </w:rPr>
        <w:t>to</w:t>
      </w:r>
      <w:proofErr w:type="gramEnd"/>
      <w:r w:rsidRPr="000817B4">
        <w:rPr>
          <w:rFonts w:ascii="NimbusRomNo9L" w:eastAsia="MS Mincho" w:hAnsi="NimbusRomNo9L"/>
          <w:spacing w:val="0"/>
        </w:rPr>
        <w:t xml:space="preserve"> electronic requirements that facilitate the concurrent or later production of electronic products, and (3) conformity of style throughout conference’s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8B37556" w14:textId="41E8ACDF" w:rsidR="0038267E" w:rsidRPr="00D620B3" w:rsidRDefault="00C12FE3" w:rsidP="00D620B3">
      <w:pPr>
        <w:pStyle w:val="berschrift1"/>
        <w:spacing w:line="24" w:lineRule="atLeast"/>
      </w:pPr>
      <w:r>
        <w:t>E</w:t>
      </w:r>
      <w:r w:rsidR="0038267E" w:rsidRPr="00D620B3">
        <w:t>ase of Use</w:t>
      </w:r>
    </w:p>
    <w:p w14:paraId="07A93877" w14:textId="77777777" w:rsidR="0038267E" w:rsidRPr="00D620B3" w:rsidRDefault="0038267E" w:rsidP="00904A86">
      <w:pPr>
        <w:pStyle w:val="berschrift2"/>
        <w:ind w:left="431" w:hanging="431"/>
      </w:pPr>
      <w:r w:rsidRPr="00D620B3">
        <w:t xml:space="preserve"> Template (Heading 2)</w:t>
      </w:r>
    </w:p>
    <w:p w14:paraId="01E7E701"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This template has been tailored for output on A4-sized paper.</w:t>
      </w:r>
    </w:p>
    <w:p w14:paraId="3895C690" w14:textId="77777777" w:rsidR="0038267E" w:rsidRPr="00D620B3" w:rsidRDefault="0038267E" w:rsidP="00904A86">
      <w:pPr>
        <w:pStyle w:val="berschrift2"/>
        <w:ind w:left="431" w:hanging="431"/>
      </w:pPr>
      <w:r w:rsidRPr="00D620B3">
        <w:t>Maintaining the Integrity of the Specifications</w:t>
      </w:r>
    </w:p>
    <w:p w14:paraId="64EF5ACE"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The template is used to format your abstract and style the text. All margins, column widths, line spaces, and text fonts are prescribed; please do not alter them. You may note peculiarities. For example, the heading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D7B6F2C" w14:textId="77777777" w:rsidR="0038267E" w:rsidRPr="00D620B3" w:rsidRDefault="0038267E" w:rsidP="00D620B3">
      <w:pPr>
        <w:pStyle w:val="berschrift1"/>
        <w:spacing w:line="24" w:lineRule="atLeast"/>
      </w:pPr>
      <w:r w:rsidRPr="00D620B3">
        <w:t>Conference Paper Preparation</w:t>
      </w:r>
    </w:p>
    <w:p w14:paraId="1364B8C3" w14:textId="77777777" w:rsidR="0038267E" w:rsidRDefault="0038267E" w:rsidP="009B7EA5">
      <w:pPr>
        <w:pStyle w:val="Textkrper"/>
        <w:spacing w:before="20" w:line="230" w:lineRule="exact"/>
        <w:ind w:firstLine="289"/>
        <w:rPr>
          <w:rFonts w:ascii="NimbusRomNo9L" w:eastAsia="MS Mincho" w:hAnsi="NimbusRomNo9L"/>
        </w:rPr>
      </w:pPr>
      <w:r w:rsidRPr="00773DAD">
        <w:rPr>
          <w:rFonts w:ascii="NimbusRomNo9L" w:hAnsi="NimbusRomNo9L"/>
        </w:rPr>
        <w:t xml:space="preserve">The maximum length of the abstract is 4 pages, consisting of text, figures, tables and references. </w:t>
      </w:r>
      <w:r w:rsidRPr="00D620B3">
        <w:rPr>
          <w:rFonts w:ascii="NimbusRomNo9L" w:hAnsi="NimbusRomNo9L"/>
        </w:rPr>
        <w:t>Please use automatic hyphenation</w:t>
      </w:r>
      <w:r w:rsidRPr="00D620B3">
        <w:rPr>
          <w:rFonts w:ascii="NimbusRomNo9L" w:hAnsi="NimbusRomNo9L"/>
          <w:lang w:eastAsia="ja-JP"/>
        </w:rPr>
        <w:t>.</w:t>
      </w:r>
      <w:r w:rsidRPr="00D620B3">
        <w:rPr>
          <w:rFonts w:ascii="NimbusRomNo9L" w:hAnsi="NimbusRomNo9L"/>
        </w:rPr>
        <w:t xml:space="preserve"> </w:t>
      </w:r>
      <w:r w:rsidRPr="00D620B3">
        <w:rPr>
          <w:rFonts w:ascii="NimbusRomNo9L" w:hAnsi="NimbusRomNo9L"/>
          <w:lang w:eastAsia="ja-JP"/>
        </w:rPr>
        <w:t>B</w:t>
      </w:r>
      <w:r w:rsidRPr="00D620B3">
        <w:rPr>
          <w:rFonts w:ascii="NimbusRomNo9L" w:hAnsi="NimbusRomNo9L"/>
        </w:rPr>
        <w:t xml:space="preserve">e sure your sentences are complete and that there is continuity within your paragraphs. Check the </w:t>
      </w:r>
      <w:proofErr w:type="gramStart"/>
      <w:r w:rsidRPr="00D620B3">
        <w:rPr>
          <w:rFonts w:ascii="NimbusRomNo9L" w:hAnsi="NimbusRomNo9L"/>
        </w:rPr>
        <w:t>numbering</w:t>
      </w:r>
      <w:proofErr w:type="gramEnd"/>
      <w:r w:rsidRPr="00D620B3">
        <w:rPr>
          <w:rFonts w:ascii="NimbusRomNo9L" w:hAnsi="NimbusRomNo9L"/>
        </w:rPr>
        <w:t xml:space="preserve"> of your graphics (figures and tables) and make sure that all appropriate references are included.</w:t>
      </w:r>
      <w:r w:rsidRPr="00D620B3">
        <w:rPr>
          <w:rFonts w:ascii="NimbusRomNo9L" w:eastAsia="MS Mincho" w:hAnsi="NimbusRomNo9L"/>
        </w:rPr>
        <w:t xml:space="preserve"> </w:t>
      </w:r>
    </w:p>
    <w:p w14:paraId="1A10D926"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Please take note of the following items when proofreading spelling and grammar:</w:t>
      </w:r>
    </w:p>
    <w:p w14:paraId="13674526" w14:textId="77777777" w:rsidR="0038267E" w:rsidRPr="00D620B3" w:rsidRDefault="0038267E" w:rsidP="00904A86">
      <w:pPr>
        <w:pStyle w:val="berschrift2"/>
        <w:numPr>
          <w:ilvl w:val="1"/>
          <w:numId w:val="17"/>
        </w:numPr>
        <w:spacing w:before="0"/>
        <w:ind w:left="431" w:hanging="431"/>
      </w:pPr>
      <w:r w:rsidRPr="00D620B3">
        <w:t>Abbreviations and Acronyms</w:t>
      </w:r>
    </w:p>
    <w:p w14:paraId="7BD47B13"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Define abbreviations and acronyms the first time they are used in the text, even after they have been defined in the abstract. Abbreviations such as IEEE, SI, ac, dc, and rms do not have to be defined. Do not use abbreviations in the title or section headings unless they are unavoidable.</w:t>
      </w:r>
    </w:p>
    <w:p w14:paraId="2182718E" w14:textId="77777777" w:rsidR="0038267E" w:rsidRPr="00D620B3" w:rsidRDefault="0038267E" w:rsidP="00904A86">
      <w:pPr>
        <w:pStyle w:val="berschrift2"/>
        <w:numPr>
          <w:ilvl w:val="1"/>
          <w:numId w:val="17"/>
        </w:numPr>
        <w:ind w:left="431" w:hanging="431"/>
      </w:pPr>
      <w:r w:rsidRPr="00D620B3">
        <w:t>Units</w:t>
      </w:r>
    </w:p>
    <w:p w14:paraId="244B0C69" w14:textId="77777777" w:rsidR="0038267E" w:rsidRPr="00D620B3" w:rsidRDefault="0038267E" w:rsidP="009B7EA5">
      <w:pPr>
        <w:pStyle w:val="bulletlist"/>
        <w:spacing w:line="230" w:lineRule="exact"/>
        <w:ind w:left="352" w:hanging="210"/>
        <w:rPr>
          <w:rFonts w:ascii="NimbusRomNo9L" w:eastAsia="MS Mincho" w:hAnsi="NimbusRomNo9L"/>
        </w:rPr>
      </w:pPr>
      <w:r w:rsidRPr="00D620B3">
        <w:rPr>
          <w:rFonts w:ascii="NimbusRomNo9L" w:hAnsi="NimbusRomNo9L"/>
        </w:rPr>
        <w:t xml:space="preserve">Metric units are preferred for use in IEEE publications </w:t>
      </w:r>
      <w:proofErr w:type="gramStart"/>
      <w:r w:rsidRPr="00D620B3">
        <w:rPr>
          <w:rFonts w:ascii="NimbusRomNo9L" w:hAnsi="NimbusRomNo9L"/>
        </w:rPr>
        <w:t>in light of</w:t>
      </w:r>
      <w:proofErr w:type="gramEnd"/>
      <w:r w:rsidRPr="00D620B3">
        <w:rPr>
          <w:rFonts w:ascii="NimbusRomNo9L" w:hAnsi="NimbusRomNo9L"/>
        </w:rPr>
        <w:t xml:space="preserve"> their global readership and the inherent convenience of these units in many fields. In particular, the use of the International System of Units (SI Units) is advocated. An exception is when U.S. Customary units are used as identifiers in trade, such as 3.5-inch disk drive.</w:t>
      </w:r>
    </w:p>
    <w:p w14:paraId="6E27D7FB" w14:textId="77777777" w:rsidR="0038267E" w:rsidRPr="00D620B3" w:rsidRDefault="0038267E" w:rsidP="009B7EA5">
      <w:pPr>
        <w:pStyle w:val="bulletlist"/>
        <w:spacing w:line="230" w:lineRule="exact"/>
        <w:ind w:left="352" w:hanging="210"/>
        <w:rPr>
          <w:rFonts w:ascii="NimbusRomNo9L" w:eastAsia="MS Mincho" w:hAnsi="NimbusRomNo9L"/>
        </w:rPr>
      </w:pPr>
      <w:r w:rsidRPr="00D620B3">
        <w:rPr>
          <w:rFonts w:ascii="NimbusRomNo9L" w:eastAsia="MS Mincho" w:hAnsi="NimbusRomNo9L"/>
        </w:rPr>
        <w:t xml:space="preserve">Avoid combining SI and U.S. Customary units, such as current in amperes and magnetic field in </w:t>
      </w:r>
      <w:proofErr w:type="spellStart"/>
      <w:r w:rsidRPr="00D620B3">
        <w:rPr>
          <w:rFonts w:ascii="NimbusRomNo9L" w:eastAsia="MS Mincho" w:hAnsi="NimbusRomNo9L"/>
        </w:rPr>
        <w:t>oersteds</w:t>
      </w:r>
      <w:proofErr w:type="spellEnd"/>
      <w:r w:rsidRPr="00D620B3">
        <w:rPr>
          <w:rFonts w:ascii="NimbusRomNo9L" w:eastAsia="MS Mincho" w:hAnsi="NimbusRomNo9L"/>
        </w:rPr>
        <w:t>. This often leads to confusion because equations do not balance dimensionally. If you must use mixed units, clearly state the units for each quantity that you use in an equation.</w:t>
      </w:r>
    </w:p>
    <w:p w14:paraId="0995AF19" w14:textId="77777777" w:rsidR="0038267E" w:rsidRPr="00D620B3" w:rsidRDefault="0038267E" w:rsidP="009B7EA5">
      <w:pPr>
        <w:pStyle w:val="bulletlist"/>
        <w:spacing w:line="230" w:lineRule="exact"/>
        <w:ind w:left="352" w:hanging="210"/>
        <w:rPr>
          <w:rFonts w:ascii="NimbusRomNo9L" w:eastAsia="MS Mincho" w:hAnsi="NimbusRomNo9L"/>
        </w:rPr>
      </w:pPr>
      <w:r w:rsidRPr="00D620B3">
        <w:rPr>
          <w:rFonts w:ascii="NimbusRomNo9L" w:eastAsia="MS Mincho" w:hAnsi="NimbusRomNo9L"/>
        </w:rPr>
        <w:t>Do not mix complete spellings and abbreviations of units: “Wb/m</w:t>
      </w:r>
      <w:r w:rsidRPr="00D620B3">
        <w:rPr>
          <w:rFonts w:ascii="NimbusRomNo9L" w:eastAsia="MS Mincho" w:hAnsi="NimbusRomNo9L"/>
          <w:vertAlign w:val="superscript"/>
        </w:rPr>
        <w:t>2</w:t>
      </w:r>
      <w:r w:rsidRPr="00D620B3">
        <w:rPr>
          <w:rFonts w:ascii="NimbusRomNo9L" w:eastAsia="MS Mincho" w:hAnsi="NimbusRomNo9L"/>
        </w:rPr>
        <w:t>” or “</w:t>
      </w:r>
      <w:proofErr w:type="spellStart"/>
      <w:r w:rsidRPr="00D620B3">
        <w:rPr>
          <w:rFonts w:ascii="NimbusRomNo9L" w:eastAsia="MS Mincho" w:hAnsi="NimbusRomNo9L"/>
        </w:rPr>
        <w:t>webers</w:t>
      </w:r>
      <w:proofErr w:type="spellEnd"/>
      <w:r w:rsidRPr="00D620B3">
        <w:rPr>
          <w:rFonts w:ascii="NimbusRomNo9L" w:eastAsia="MS Mincho" w:hAnsi="NimbusRomNo9L"/>
        </w:rPr>
        <w:t xml:space="preserve"> per square meter”, not “</w:t>
      </w:r>
      <w:proofErr w:type="spellStart"/>
      <w:r w:rsidRPr="00D620B3">
        <w:rPr>
          <w:rFonts w:ascii="NimbusRomNo9L" w:eastAsia="MS Mincho" w:hAnsi="NimbusRomNo9L"/>
        </w:rPr>
        <w:t>webers</w:t>
      </w:r>
      <w:proofErr w:type="spellEnd"/>
      <w:r w:rsidRPr="00D620B3">
        <w:rPr>
          <w:rFonts w:ascii="NimbusRomNo9L" w:eastAsia="MS Mincho" w:hAnsi="NimbusRomNo9L"/>
        </w:rPr>
        <w:t>/m</w:t>
      </w:r>
      <w:r w:rsidRPr="00D620B3">
        <w:rPr>
          <w:rFonts w:ascii="NimbusRomNo9L" w:eastAsia="MS Mincho" w:hAnsi="NimbusRomNo9L"/>
          <w:vertAlign w:val="superscript"/>
        </w:rPr>
        <w:t>2</w:t>
      </w:r>
      <w:r w:rsidRPr="00D620B3">
        <w:rPr>
          <w:rFonts w:ascii="NimbusRomNo9L" w:eastAsia="MS Mincho" w:hAnsi="NimbusRomNo9L"/>
        </w:rPr>
        <w:t xml:space="preserve">”.  Spell out units when they appear in text: “. . . a few </w:t>
      </w:r>
      <w:proofErr w:type="spellStart"/>
      <w:r w:rsidRPr="00D620B3">
        <w:rPr>
          <w:rFonts w:ascii="NimbusRomNo9L" w:eastAsia="MS Mincho" w:hAnsi="NimbusRomNo9L"/>
        </w:rPr>
        <w:t>henries</w:t>
      </w:r>
      <w:proofErr w:type="spellEnd"/>
      <w:r w:rsidRPr="00D620B3">
        <w:rPr>
          <w:rFonts w:ascii="NimbusRomNo9L" w:eastAsia="MS Mincho" w:hAnsi="NimbusRomNo9L"/>
        </w:rPr>
        <w:t>”, not “. . . a few H”.</w:t>
      </w:r>
    </w:p>
    <w:p w14:paraId="4E6B0FBF" w14:textId="77777777" w:rsidR="0038267E" w:rsidRPr="00D620B3" w:rsidRDefault="0038267E" w:rsidP="009B7EA5">
      <w:pPr>
        <w:pStyle w:val="bulletlist"/>
        <w:spacing w:line="230" w:lineRule="exact"/>
        <w:ind w:left="352" w:hanging="210"/>
        <w:rPr>
          <w:rFonts w:ascii="NimbusRomNo9L" w:eastAsia="MS Mincho" w:hAnsi="NimbusRomNo9L"/>
        </w:rPr>
      </w:pPr>
      <w:r w:rsidRPr="00D620B3">
        <w:rPr>
          <w:rFonts w:ascii="NimbusRomNo9L" w:eastAsia="MS Mincho" w:hAnsi="NimbusRomNo9L"/>
        </w:rPr>
        <w:t>Use a zero before decimal points: “0.25”, not “.25”. Use “cm</w:t>
      </w:r>
      <w:r w:rsidRPr="00D620B3">
        <w:rPr>
          <w:rFonts w:ascii="NimbusRomNo9L" w:eastAsia="MS Mincho" w:hAnsi="NimbusRomNo9L"/>
          <w:vertAlign w:val="superscript"/>
        </w:rPr>
        <w:t>3</w:t>
      </w:r>
      <w:r w:rsidRPr="00D620B3">
        <w:rPr>
          <w:rFonts w:ascii="NimbusRomNo9L" w:eastAsia="MS Mincho" w:hAnsi="NimbusRomNo9L"/>
        </w:rPr>
        <w:t>”, not “cc”. (</w:t>
      </w:r>
      <w:r w:rsidRPr="00D620B3">
        <w:rPr>
          <w:rFonts w:ascii="NimbusRomNo9L" w:eastAsia="MS Mincho" w:hAnsi="NimbusRomNo9L"/>
          <w:i/>
          <w:iCs/>
        </w:rPr>
        <w:t>bullet list</w:t>
      </w:r>
      <w:r w:rsidRPr="00D620B3">
        <w:rPr>
          <w:rFonts w:ascii="NimbusRomNo9L" w:eastAsia="MS Mincho" w:hAnsi="NimbusRomNo9L"/>
        </w:rPr>
        <w:t>)</w:t>
      </w:r>
    </w:p>
    <w:p w14:paraId="7C47FF08" w14:textId="77777777" w:rsidR="0038267E" w:rsidRPr="00D620B3" w:rsidRDefault="0038267E" w:rsidP="00904A86">
      <w:pPr>
        <w:pStyle w:val="berschrift2"/>
        <w:numPr>
          <w:ilvl w:val="1"/>
          <w:numId w:val="17"/>
        </w:numPr>
        <w:ind w:left="431" w:hanging="431"/>
      </w:pPr>
      <w:r w:rsidRPr="00D620B3">
        <w:t>Equations</w:t>
      </w:r>
    </w:p>
    <w:p w14:paraId="710FBE47"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 xml:space="preserve">The equations are an exception to the prescribed specifications of this template. You will need to determine </w:t>
      </w:r>
      <w:proofErr w:type="gramStart"/>
      <w:r w:rsidRPr="00D620B3">
        <w:rPr>
          <w:rFonts w:ascii="NimbusRomNo9L" w:eastAsia="MS Mincho" w:hAnsi="NimbusRomNo9L"/>
        </w:rPr>
        <w:t>whether or not</w:t>
      </w:r>
      <w:proofErr w:type="gramEnd"/>
      <w:r w:rsidRPr="00D620B3">
        <w:rPr>
          <w:rFonts w:ascii="NimbusRomNo9L" w:eastAsia="MS Mincho" w:hAnsi="NimbusRomNo9L"/>
        </w:rPr>
        <w:t xml:space="preserve"> your equation should be typed using either the Times New Roman or the Symbol font (please no other font). To create multileveled equations, it may be necessary to treat the equation as a graphic and insert it into the text after your paper is styled. </w:t>
      </w:r>
      <w:r w:rsidRPr="00D620B3">
        <w:rPr>
          <w:rFonts w:ascii="NimbusRomNo9L" w:hAnsi="NimbusRomNo9L"/>
        </w:rPr>
        <w:t xml:space="preserve">Use of the Microsoft Equation Editor or the </w:t>
      </w:r>
      <w:proofErr w:type="spellStart"/>
      <w:r w:rsidRPr="00D620B3">
        <w:rPr>
          <w:rFonts w:ascii="NimbusRomNo9L" w:hAnsi="NimbusRomNo9L"/>
          <w:i/>
        </w:rPr>
        <w:t>MathType</w:t>
      </w:r>
      <w:proofErr w:type="spellEnd"/>
      <w:r w:rsidRPr="00D620B3">
        <w:rPr>
          <w:rFonts w:ascii="NimbusRomNo9L" w:hAnsi="NimbusRomNo9L"/>
        </w:rPr>
        <w:t xml:space="preserve"> commercial add-on for MS Word for math objects in your paper is permissible (Insert | Equation </w:t>
      </w:r>
      <w:r w:rsidRPr="00D620B3">
        <w:rPr>
          <w:rFonts w:ascii="NimbusRomNo9L" w:hAnsi="NimbusRomNo9L"/>
          <w:i/>
        </w:rPr>
        <w:t>or</w:t>
      </w:r>
      <w:r w:rsidRPr="00D620B3">
        <w:rPr>
          <w:rFonts w:ascii="NimbusRomNo9L" w:hAnsi="NimbusRomNo9L"/>
        </w:rPr>
        <w:t xml:space="preserve"> </w:t>
      </w:r>
      <w:proofErr w:type="spellStart"/>
      <w:r w:rsidRPr="00D620B3">
        <w:rPr>
          <w:rFonts w:ascii="NimbusRomNo9L" w:hAnsi="NimbusRomNo9L"/>
        </w:rPr>
        <w:t>MathType</w:t>
      </w:r>
      <w:proofErr w:type="spellEnd"/>
      <w:r w:rsidRPr="00D620B3">
        <w:rPr>
          <w:rFonts w:ascii="NimbusRomNo9L" w:hAnsi="NimbusRomNo9L"/>
        </w:rPr>
        <w:t xml:space="preserve"> Equation). "Float over text" should </w:t>
      </w:r>
      <w:r w:rsidRPr="00D620B3">
        <w:rPr>
          <w:rFonts w:ascii="NimbusRomNo9L" w:hAnsi="NimbusRomNo9L"/>
          <w:i/>
        </w:rPr>
        <w:t>not</w:t>
      </w:r>
      <w:r w:rsidRPr="00D620B3">
        <w:rPr>
          <w:rFonts w:ascii="NimbusRomNo9L" w:hAnsi="NimbusRomNo9L"/>
        </w:rPr>
        <w:t xml:space="preserve"> be selected.</w:t>
      </w:r>
    </w:p>
    <w:p w14:paraId="6081B19C" w14:textId="1F0409E3" w:rsidR="00AB15A6" w:rsidRDefault="0038267E" w:rsidP="009B7EA5">
      <w:pPr>
        <w:pStyle w:val="Textkrper"/>
        <w:spacing w:line="230" w:lineRule="exact"/>
        <w:ind w:firstLine="289"/>
        <w:rPr>
          <w:rFonts w:eastAsia="MS Mincho"/>
        </w:rPr>
      </w:pPr>
      <w:r w:rsidRPr="00D620B3">
        <w:rPr>
          <w:rFonts w:ascii="NimbusRomNo9L" w:eastAsia="MS Mincho" w:hAnsi="NimbusRomNo9L"/>
        </w:rPr>
        <w:t>Number equations consecutively</w:t>
      </w:r>
      <w:r w:rsidRPr="00D620B3">
        <w:rPr>
          <w:rFonts w:ascii="NimbusRomNo9L" w:eastAsia="MS Mincho" w:hAnsi="NimbusRomNo9L"/>
          <w:lang w:eastAsia="ja-JP"/>
        </w:rPr>
        <w:t>.</w:t>
      </w:r>
      <w:r w:rsidRPr="00D620B3">
        <w:rPr>
          <w:rFonts w:ascii="NimbusRomNo9L" w:eastAsia="MS Mincho" w:hAnsi="NimbusRomNo9L"/>
        </w:rPr>
        <w:t xml:space="preserve"> Equation numbers, within parentheses, are to position flush right, as in (1), using a right tab stop. To make your equations more compact, you may use the solidus </w:t>
      </w:r>
      <w:proofErr w:type="gramStart"/>
      <w:r w:rsidRPr="00D620B3">
        <w:rPr>
          <w:rFonts w:ascii="NimbusRomNo9L" w:eastAsia="MS Mincho" w:hAnsi="NimbusRomNo9L"/>
        </w:rPr>
        <w:t>( /</w:t>
      </w:r>
      <w:proofErr w:type="gramEnd"/>
      <w:r w:rsidRPr="00D620B3">
        <w:rPr>
          <w:rFonts w:ascii="NimbusRomNo9L" w:eastAsia="MS Mincho" w:hAnsi="NimbusRomNo9L"/>
        </w:rPr>
        <w:t xml:space="preserve"> ), the exp function, or appropriate exponents. Italicize Roman symbols for quantities and variables, but not Greek symbols. Use a long dash, as shown in (1), rather than a hyphen for a minus sign. Punctuate equations with commas or periods when they are part of a sentence, as in</w:t>
      </w:r>
    </w:p>
    <w:p w14:paraId="6A879033" w14:textId="7A6B5CE7" w:rsidR="00AB15A6" w:rsidRDefault="00CD62B3" w:rsidP="00CD62B3">
      <w:pPr>
        <w:pStyle w:val="equation"/>
        <w:tabs>
          <w:tab w:val="clear" w:pos="2520"/>
          <w:tab w:val="clear" w:pos="5040"/>
          <w:tab w:val="center" w:pos="2410"/>
          <w:tab w:val="right" w:pos="4678"/>
        </w:tabs>
        <w:spacing w:after="0" w:line="240" w:lineRule="auto"/>
        <w:rPr>
          <w:rFonts w:eastAsia="MS Mincho" w:hint="eastAsia"/>
        </w:rPr>
      </w:pPr>
      <w:r>
        <w:tab/>
      </w:r>
      <w:r w:rsidR="00AB15A6">
        <w:t></w:t>
      </w:r>
      <w:r w:rsidR="00AB15A6">
        <w:t></w:t>
      </w:r>
      <w:r w:rsidR="00AB15A6">
        <w:sym w:font="Symbol" w:char="F02D"/>
      </w:r>
      <w:r w:rsidR="00AB15A6">
        <w:t></w:t>
      </w:r>
      <w:r w:rsidR="00AB15A6">
        <w:t></w:t>
      </w:r>
      <w:r w:rsidR="00AB15A6">
        <w:t></w:t>
      </w:r>
      <w:r w:rsidR="00AB15A6">
        <w:t></w:t>
      </w:r>
      <w:r w:rsidR="00AB15A6">
        <w:t></w:t>
      </w:r>
      <w:r w:rsidR="00AB15A6">
        <w:sym w:font="Symbol" w:char="F064"/>
      </w:r>
      <w:r w:rsidR="00AB15A6">
        <w:t></w:t>
      </w:r>
      <w:r w:rsidR="00AB15A6">
        <w:t></w:t>
      </w:r>
      <w:r w:rsidR="00AB15A6">
        <w:t></w:t>
      </w:r>
      <w:r w:rsidR="00AB15A6">
        <w:t></w:t>
      </w:r>
      <w:r w:rsidR="00AB15A6">
        <w:t></w:t>
      </w:r>
      <w:r>
        <w:tab/>
      </w:r>
      <w:r w:rsidR="00AB15A6">
        <w:t></w:t>
      </w:r>
      <w:r w:rsidR="00AB15A6">
        <w:t></w:t>
      </w:r>
      <w:r w:rsidR="00AB15A6">
        <w:t></w:t>
      </w:r>
    </w:p>
    <w:p w14:paraId="0953F36F" w14:textId="6DB3EF42" w:rsidR="0038267E" w:rsidRPr="00D620B3" w:rsidRDefault="0038267E" w:rsidP="009B7EA5">
      <w:pPr>
        <w:pStyle w:val="equation"/>
        <w:tabs>
          <w:tab w:val="clear" w:pos="5040"/>
          <w:tab w:val="right" w:pos="4860"/>
        </w:tabs>
        <w:spacing w:line="230" w:lineRule="exact"/>
        <w:jc w:val="both"/>
        <w:rPr>
          <w:rFonts w:ascii="NimbusRomNo9L" w:eastAsia="MS Mincho" w:hAnsi="NimbusRomNo9L"/>
        </w:rPr>
      </w:pPr>
      <w:r w:rsidRPr="00D620B3">
        <w:rPr>
          <w:rFonts w:ascii="NimbusRomNo9L" w:eastAsia="MS Mincho" w:hAnsi="NimbusRomNo9L"/>
        </w:rPr>
        <w:t>Note that the equation above is centered using a center tab stop. Be sure that the symbols in your equation have been defined before or immediately following the equation. Use “(1)”, not “Eq. (1)” or “equation (1)”, except at the beginning of a sentence: “Equation (1) is . . .”</w:t>
      </w:r>
    </w:p>
    <w:p w14:paraId="74AE924F" w14:textId="0FA11F73" w:rsidR="0038267E" w:rsidRPr="00D620B3" w:rsidRDefault="00C12FE3" w:rsidP="00D620B3">
      <w:pPr>
        <w:pStyle w:val="berschrift1"/>
        <w:spacing w:line="24" w:lineRule="atLeast"/>
      </w:pPr>
      <w:r>
        <w:lastRenderedPageBreak/>
        <w:t>U</w:t>
      </w:r>
      <w:r w:rsidR="0038267E" w:rsidRPr="00D620B3">
        <w:t>sing the Template</w:t>
      </w:r>
    </w:p>
    <w:p w14:paraId="682FC83F"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hAnsi="NimbusRomNo9L"/>
        </w:rPr>
        <w:t xml:space="preserve">This document </w:t>
      </w:r>
      <w:r w:rsidRPr="00D620B3">
        <w:rPr>
          <w:rFonts w:ascii="NimbusRomNo9L" w:hAnsi="NimbusRomNo9L"/>
          <w:lang w:eastAsia="ja-JP"/>
        </w:rPr>
        <w:t xml:space="preserve">is highly recommended to use as a </w:t>
      </w:r>
      <w:r w:rsidRPr="00D620B3">
        <w:rPr>
          <w:rFonts w:ascii="NimbusRomNo9L" w:hAnsi="NimbusRomNo9L"/>
        </w:rPr>
        <w:t>template for preparing your Conference abstract. You may type over sections of the document, cut and paste into it, and/or use markup styles</w:t>
      </w:r>
      <w:r w:rsidRPr="00D620B3">
        <w:rPr>
          <w:rFonts w:ascii="NimbusRomNo9L" w:eastAsia="MS Mincho" w:hAnsi="NimbusRomNo9L"/>
        </w:rPr>
        <w:t>.</w:t>
      </w:r>
    </w:p>
    <w:p w14:paraId="0C221A24" w14:textId="679D2464"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 xml:space="preserve">Duplicate the template file by using </w:t>
      </w:r>
      <w:proofErr w:type="gramStart"/>
      <w:r w:rsidRPr="00D620B3">
        <w:rPr>
          <w:rFonts w:ascii="NimbusRomNo9L" w:eastAsia="MS Mincho" w:hAnsi="NimbusRomNo9L"/>
        </w:rPr>
        <w:t>the Save</w:t>
      </w:r>
      <w:proofErr w:type="gramEnd"/>
      <w:r w:rsidRPr="00D620B3">
        <w:rPr>
          <w:rFonts w:ascii="NimbusRomNo9L" w:eastAsia="MS Mincho" w:hAnsi="NimbusRomNo9L"/>
        </w:rPr>
        <w:t xml:space="preserve"> As </w:t>
      </w:r>
      <w:r w:rsidR="00AB15A6" w:rsidRPr="00D620B3">
        <w:rPr>
          <w:rFonts w:ascii="NimbusRomNo9L" w:eastAsia="MS Mincho" w:hAnsi="NimbusRomNo9L"/>
        </w:rPr>
        <w:t>command and</w:t>
      </w:r>
      <w:r w:rsidRPr="00D620B3">
        <w:rPr>
          <w:rFonts w:ascii="NimbusRomNo9L" w:eastAsia="MS Mincho" w:hAnsi="NimbusRomNo9L"/>
        </w:rPr>
        <w:t xml:space="preserve"> use the naming convention prescribed by your conference for the name of your paper.</w:t>
      </w:r>
    </w:p>
    <w:p w14:paraId="13519738" w14:textId="77777777" w:rsidR="0038267E" w:rsidRPr="00D620B3" w:rsidRDefault="0038267E" w:rsidP="00904A86">
      <w:pPr>
        <w:pStyle w:val="berschrift2"/>
        <w:numPr>
          <w:ilvl w:val="1"/>
          <w:numId w:val="24"/>
        </w:numPr>
        <w:ind w:left="431" w:hanging="431"/>
      </w:pPr>
      <w:r w:rsidRPr="00D620B3">
        <w:t>Authors and Affiliations</w:t>
      </w:r>
    </w:p>
    <w:p w14:paraId="3C230567" w14:textId="77777777" w:rsidR="0038267E" w:rsidRPr="00D620B3" w:rsidRDefault="0038267E" w:rsidP="009B7EA5">
      <w:pPr>
        <w:pStyle w:val="Textkrper"/>
        <w:spacing w:line="230" w:lineRule="exact"/>
        <w:ind w:firstLine="289"/>
        <w:rPr>
          <w:rFonts w:ascii="NimbusRomNo9L" w:hAnsi="NimbusRomNo9L"/>
          <w:lang w:eastAsia="ja-JP"/>
        </w:rPr>
      </w:pPr>
      <w:r w:rsidRPr="00D620B3">
        <w:rPr>
          <w:rFonts w:ascii="NimbusRomNo9L" w:eastAsia="MS Mincho" w:hAnsi="NimbusRomNo9L"/>
        </w:rPr>
        <w:t>The template is designed so that author affiliations are not repeated each time for multiple authors of the same affiliation. Please keep your affiliations as succinct as possible (for example, do not differentiate among departments of the same organization</w:t>
      </w:r>
      <w:r w:rsidRPr="00D620B3">
        <w:rPr>
          <w:rFonts w:ascii="NimbusRomNo9L" w:eastAsia="MS Mincho" w:hAnsi="NimbusRomNo9L"/>
          <w:lang w:eastAsia="ja-JP"/>
        </w:rPr>
        <w:t xml:space="preserve">. Acronyms </w:t>
      </w:r>
      <w:proofErr w:type="gramStart"/>
      <w:r w:rsidRPr="00D620B3">
        <w:rPr>
          <w:rFonts w:ascii="NimbusRomNo9L" w:eastAsia="MS Mincho" w:hAnsi="NimbusRomNo9L"/>
          <w:lang w:eastAsia="ja-JP"/>
        </w:rPr>
        <w:t>also</w:t>
      </w:r>
      <w:proofErr w:type="gramEnd"/>
      <w:r w:rsidRPr="00D620B3">
        <w:rPr>
          <w:rFonts w:ascii="NimbusRomNo9L" w:eastAsia="MS Mincho" w:hAnsi="NimbusRomNo9L"/>
          <w:lang w:eastAsia="ja-JP"/>
        </w:rPr>
        <w:t xml:space="preserve"> acceptable</w:t>
      </w:r>
      <w:r w:rsidRPr="00D620B3">
        <w:rPr>
          <w:rFonts w:ascii="NimbusRomNo9L" w:eastAsia="MS Mincho" w:hAnsi="NimbusRomNo9L"/>
        </w:rPr>
        <w:t xml:space="preserve">). </w:t>
      </w:r>
    </w:p>
    <w:p w14:paraId="269313E4" w14:textId="77777777" w:rsidR="0038267E" w:rsidRPr="00D620B3" w:rsidRDefault="0038267E" w:rsidP="00904A86">
      <w:pPr>
        <w:pStyle w:val="berschrift2"/>
        <w:numPr>
          <w:ilvl w:val="1"/>
          <w:numId w:val="24"/>
        </w:numPr>
        <w:ind w:left="431" w:hanging="431"/>
      </w:pPr>
      <w:r w:rsidRPr="00D620B3">
        <w:t>Identify the Headings</w:t>
      </w:r>
    </w:p>
    <w:p w14:paraId="736ED2A3"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Headings are organizational devices that guide the reader through your paper. There are two types: component headings and text headings.</w:t>
      </w:r>
    </w:p>
    <w:p w14:paraId="7D93BBFC" w14:textId="2B55EA71"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 xml:space="preserve">Component headings identify the different components of your paper and are not topically subordinate to each other. Examples include </w:t>
      </w:r>
      <w:r w:rsidRPr="00D620B3">
        <w:rPr>
          <w:rFonts w:ascii="NimbusRomNo9L" w:eastAsia="MS Mincho" w:hAnsi="NimbusRomNo9L"/>
          <w:smallCaps/>
        </w:rPr>
        <w:t>Acknowledgments</w:t>
      </w:r>
      <w:r w:rsidRPr="00D620B3">
        <w:rPr>
          <w:rFonts w:ascii="NimbusRomNo9L" w:eastAsia="MS Mincho" w:hAnsi="NimbusRomNo9L"/>
        </w:rPr>
        <w:t xml:space="preserve"> and </w:t>
      </w:r>
      <w:r w:rsidRPr="00D620B3">
        <w:rPr>
          <w:rFonts w:ascii="NimbusRomNo9L" w:eastAsia="MS Mincho" w:hAnsi="NimbusRomNo9L"/>
          <w:smallCaps/>
        </w:rPr>
        <w:t>References</w:t>
      </w:r>
      <w:r w:rsidRPr="00D620B3">
        <w:rPr>
          <w:rFonts w:ascii="NimbusRomNo9L" w:eastAsia="MS Mincho" w:hAnsi="NimbusRomNo9L"/>
        </w:rPr>
        <w:t xml:space="preserve">. Run-in headings, such as “Abstract”, will require you to apply a style (in this case, italic) in addition to the style provided by the </w:t>
      </w:r>
      <w:r w:rsidR="00AB15A6" w:rsidRPr="00D620B3">
        <w:rPr>
          <w:rFonts w:ascii="NimbusRomNo9L" w:eastAsia="MS Mincho" w:hAnsi="NimbusRomNo9L"/>
        </w:rPr>
        <w:t>drop-down</w:t>
      </w:r>
      <w:r w:rsidRPr="00D620B3">
        <w:rPr>
          <w:rFonts w:ascii="NimbusRomNo9L" w:eastAsia="MS Mincho" w:hAnsi="NimbusRomNo9L"/>
        </w:rPr>
        <w:t xml:space="preserve"> menu to differentiate the heading from the text.</w:t>
      </w:r>
    </w:p>
    <w:p w14:paraId="279FADA8" w14:textId="77777777" w:rsidR="0038267E" w:rsidRPr="00D620B3" w:rsidRDefault="0038267E" w:rsidP="009B7EA5">
      <w:pPr>
        <w:pStyle w:val="Textkrper"/>
        <w:spacing w:line="230" w:lineRule="atLeast"/>
        <w:ind w:firstLine="289"/>
        <w:rPr>
          <w:rFonts w:ascii="NimbusRomNo9L" w:eastAsia="MS Mincho" w:hAnsi="NimbusRomNo9L"/>
          <w:lang w:eastAsia="ja-JP"/>
        </w:rPr>
      </w:pPr>
      <w:r w:rsidRPr="00D620B3">
        <w:rPr>
          <w:rFonts w:ascii="NimbusRomNo9L" w:eastAsia="MS Mincho" w:hAnsi="NimbusRomNo9L"/>
        </w:rPr>
        <w:t xml:space="preserve">Text headings organize the topics on a relational, hierarchical basis. For example, the paper title is the primary text heading because all subsequent material relates and elaborates on this one topic. If there are two or more sub-topics, the next level heading (uppercase Roman numerals) should be used and, conversely, if there are not at least two sub-topics, then no subheadings should be introduced. </w:t>
      </w:r>
    </w:p>
    <w:p w14:paraId="33D5CA4B" w14:textId="77777777" w:rsidR="0038267E" w:rsidRPr="00D620B3" w:rsidRDefault="0038267E" w:rsidP="00904A86">
      <w:pPr>
        <w:pStyle w:val="berschrift2"/>
        <w:numPr>
          <w:ilvl w:val="1"/>
          <w:numId w:val="24"/>
        </w:numPr>
        <w:ind w:left="431" w:hanging="431"/>
      </w:pPr>
      <w:r w:rsidRPr="00D620B3">
        <w:t>Figures and Tables</w:t>
      </w:r>
    </w:p>
    <w:p w14:paraId="2BBE64EE" w14:textId="77777777" w:rsidR="0038267E" w:rsidRPr="00C12FE3" w:rsidRDefault="0038267E" w:rsidP="009B7EA5">
      <w:pPr>
        <w:pStyle w:val="Textkrper"/>
        <w:spacing w:line="230" w:lineRule="exact"/>
        <w:ind w:firstLine="289"/>
        <w:rPr>
          <w:rFonts w:ascii="NimbusRomNo9L" w:eastAsia="MS Mincho" w:hAnsi="NimbusRomNo9L"/>
        </w:rPr>
      </w:pPr>
      <w:r w:rsidRPr="00C12FE3">
        <w:rPr>
          <w:rFonts w:ascii="NimbusRomNo9L" w:eastAsia="MS Mincho" w:hAnsi="NimbusRomNo9L"/>
          <w:i/>
          <w:iCs/>
        </w:rPr>
        <w:t>Positioning</w:t>
      </w:r>
      <w:r w:rsidRPr="00C12FE3">
        <w:rPr>
          <w:rFonts w:ascii="NimbusRomNo9L" w:hAnsi="NimbusRomNo9L"/>
          <w:i/>
          <w:iCs/>
          <w:spacing w:val="0"/>
        </w:rPr>
        <w:t xml:space="preserve"> Figures and Tables:</w:t>
      </w:r>
      <w:r w:rsidRPr="00AB15A6">
        <w:rPr>
          <w:rFonts w:ascii="NimbusRomNo9L" w:hAnsi="NimbusRomNo9L"/>
          <w:spacing w:val="0"/>
        </w:rPr>
        <w:t xml:space="preserve"> Large figures and tables may span across both columns. Captions should be below the figure or table. Use the abbreviation “Fig. 1”, even at the beginning of a sentence.</w:t>
      </w:r>
    </w:p>
    <w:p w14:paraId="3333988F" w14:textId="77777777" w:rsidR="0038267E" w:rsidRPr="00D620B3" w:rsidRDefault="0038267E" w:rsidP="009B7EA5">
      <w:pPr>
        <w:pStyle w:val="Textkrper"/>
        <w:spacing w:line="230" w:lineRule="exact"/>
        <w:ind w:firstLine="289"/>
        <w:rPr>
          <w:rFonts w:ascii="NimbusRomNo9L" w:eastAsia="MS Mincho" w:hAnsi="NimbusRomNo9L"/>
        </w:rPr>
      </w:pPr>
      <w:r w:rsidRPr="00C12FE3">
        <w:rPr>
          <w:rFonts w:ascii="NimbusRomNo9L" w:eastAsia="MS Mincho" w:hAnsi="NimbusRomNo9L"/>
          <w:i/>
          <w:iCs/>
        </w:rPr>
        <w:t>Figure Labels:</w:t>
      </w:r>
      <w:r w:rsidRPr="00D620B3">
        <w:rPr>
          <w:rFonts w:ascii="NimbusRomNo9L" w:eastAsia="MS Mincho" w:hAnsi="NimbusRomNo9L"/>
        </w:rPr>
        <w:t xml:space="preserve"> Use 8-point Times New Roman for Figure labels and make them verbatim, such as “Magnetization, M”, not just “M”. If including units in the label, present them within parentheses. Do not label axes only with units. In the example, write “Magnetization (A/m)” Do not label axes with a ratio of quantities and units. For example, write “Temperature (K)”, not “Temperature/K”.</w:t>
      </w:r>
    </w:p>
    <w:p w14:paraId="5D70827C"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Figures and tables should be numbered consecutively.  Use Arabic numerals for figures and Roman numerals for tables.</w:t>
      </w:r>
    </w:p>
    <w:p w14:paraId="404AB566" w14:textId="77777777" w:rsidR="0038267E" w:rsidRPr="00D620B3" w:rsidRDefault="00380F53" w:rsidP="00D620B3">
      <w:pPr>
        <w:pStyle w:val="Textkrper"/>
        <w:spacing w:line="24" w:lineRule="atLeast"/>
        <w:jc w:val="center"/>
        <w:rPr>
          <w:rFonts w:ascii="NimbusRomNo9L" w:eastAsia="MS Mincho" w:hAnsi="NimbusRomNo9L"/>
        </w:rPr>
      </w:pPr>
      <w:r w:rsidRPr="00D620B3">
        <w:rPr>
          <w:rFonts w:ascii="NimbusRomNo9L" w:hAnsi="NimbusRomNo9L"/>
          <w:noProof/>
          <w:sz w:val="16"/>
          <w:szCs w:val="16"/>
          <w14:ligatures w14:val="standardContextual"/>
        </w:rPr>
        <w:object w:dxaOrig="4320" w:dyaOrig="4320" w14:anchorId="27DA5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5pt;height:173.25pt;mso-width-percent:0;mso-height-percent:0;mso-width-percent:0;mso-height-percent:0" o:ole="">
            <v:imagedata r:id="rId8" o:title=""/>
          </v:shape>
          <o:OLEObject Type="Embed" ProgID="SigmaPlot.JNB.Page.7" ShapeID="_x0000_i1025" DrawAspect="Content" ObjectID="_1834124197" r:id="rId9"/>
        </w:object>
      </w:r>
    </w:p>
    <w:p w14:paraId="0D1DE88B" w14:textId="77777777" w:rsidR="0038267E" w:rsidRPr="00D620B3" w:rsidRDefault="0038267E" w:rsidP="00D620B3">
      <w:pPr>
        <w:pStyle w:val="figurecaption"/>
        <w:tabs>
          <w:tab w:val="num" w:pos="720"/>
        </w:tabs>
        <w:spacing w:line="24" w:lineRule="atLeast"/>
        <w:rPr>
          <w:rFonts w:ascii="NimbusRomNo9L" w:eastAsia="MS Mincho" w:hAnsi="NimbusRomNo9L"/>
        </w:rPr>
      </w:pPr>
      <w:r w:rsidRPr="00D620B3">
        <w:rPr>
          <w:rFonts w:ascii="NimbusRomNo9L" w:eastAsia="MS Mincho" w:hAnsi="NimbusRomNo9L"/>
        </w:rPr>
        <w:t xml:space="preserve">Example of a figure caption. </w:t>
      </w:r>
      <w:r w:rsidRPr="00D620B3">
        <w:rPr>
          <w:rFonts w:ascii="NimbusRomNo9L" w:eastAsia="MS Mincho" w:hAnsi="NimbusRomNo9L"/>
          <w:i/>
          <w:iCs/>
        </w:rPr>
        <w:t>(figure caption)</w:t>
      </w:r>
    </w:p>
    <w:p w14:paraId="4F6ED1D8" w14:textId="14DEE173" w:rsidR="0038267E" w:rsidRPr="00C12FE3" w:rsidRDefault="00C12FE3" w:rsidP="00C12FE3">
      <w:pPr>
        <w:pStyle w:val="berschrift1"/>
        <w:numPr>
          <w:ilvl w:val="0"/>
          <w:numId w:val="0"/>
        </w:numPr>
        <w:spacing w:line="24" w:lineRule="atLeast"/>
        <w:ind w:left="720"/>
        <w:rPr>
          <w:b w:val="0"/>
          <w:bCs/>
        </w:rPr>
      </w:pPr>
      <w:r>
        <w:rPr>
          <w:b w:val="0"/>
          <w:bCs/>
        </w:rPr>
        <w:t>Acknowledgment</w:t>
      </w:r>
    </w:p>
    <w:p w14:paraId="697531E5" w14:textId="77777777" w:rsidR="0038267E" w:rsidRPr="00D620B3" w:rsidRDefault="0038267E" w:rsidP="009B7EA5">
      <w:pPr>
        <w:pStyle w:val="Textkrper"/>
        <w:spacing w:line="230" w:lineRule="exact"/>
        <w:ind w:firstLine="289"/>
        <w:rPr>
          <w:rFonts w:ascii="NimbusRomNo9L" w:hAnsi="NimbusRomNo9L"/>
        </w:rPr>
      </w:pPr>
      <w:r w:rsidRPr="00D620B3">
        <w:rPr>
          <w:rFonts w:ascii="NimbusRomNo9L" w:hAnsi="NimbusRomNo9L"/>
        </w:rPr>
        <w:t>The following is an example of an acknowledgment.</w:t>
      </w:r>
    </w:p>
    <w:p w14:paraId="500803A5"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hAnsi="NimbusRomNo9L"/>
        </w:rPr>
        <w:t>The authors gratefully acknowledge the contributions of T. Edison, G. Westinghouse, N. Tesla, A. Volta and A. Ampere to the electric power industry.</w:t>
      </w:r>
    </w:p>
    <w:p w14:paraId="5E80A888" w14:textId="77777777" w:rsidR="0038267E" w:rsidRPr="00C12FE3" w:rsidRDefault="0038267E" w:rsidP="00C12FE3">
      <w:pPr>
        <w:pStyle w:val="berschrift1"/>
        <w:numPr>
          <w:ilvl w:val="0"/>
          <w:numId w:val="0"/>
        </w:numPr>
        <w:spacing w:line="24" w:lineRule="atLeast"/>
        <w:ind w:left="720"/>
        <w:rPr>
          <w:b w:val="0"/>
          <w:bCs/>
        </w:rPr>
      </w:pPr>
      <w:r w:rsidRPr="00C12FE3">
        <w:rPr>
          <w:b w:val="0"/>
          <w:bCs/>
        </w:rPr>
        <w:t>References</w:t>
      </w:r>
    </w:p>
    <w:p w14:paraId="6DE7E32F" w14:textId="71D5A59D"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[1]</w:t>
      </w:r>
      <w:r w:rsidR="00C12FE3">
        <w:rPr>
          <w:rFonts w:ascii="NimbusRomNo9L" w:hAnsi="NimbusRomNo9L"/>
          <w:lang w:eastAsia="ja-JP"/>
        </w:rPr>
        <w:tab/>
      </w:r>
      <w:r w:rsidRPr="00D620B3">
        <w:rPr>
          <w:rFonts w:ascii="NimbusRomNo9L" w:hAnsi="NimbusRomNo9L"/>
          <w:lang w:eastAsia="ja-JP"/>
        </w:rPr>
        <w:t>References should use an 8pt font so as not to take up that much space.</w:t>
      </w:r>
    </w:p>
    <w:p w14:paraId="74036B6C" w14:textId="18E65A11" w:rsidR="0038267E" w:rsidRPr="00D620B3" w:rsidRDefault="0038267E" w:rsidP="009B7EA5">
      <w:pPr>
        <w:pStyle w:val="References"/>
        <w:tabs>
          <w:tab w:val="clear" w:pos="360"/>
        </w:tabs>
        <w:spacing w:line="230" w:lineRule="exact"/>
        <w:ind w:left="294" w:hanging="294"/>
        <w:rPr>
          <w:rFonts w:ascii="NimbusRomNo9L" w:hAnsi="NimbusRomNo9L"/>
        </w:rPr>
      </w:pPr>
      <w:r w:rsidRPr="00D620B3">
        <w:rPr>
          <w:rFonts w:ascii="NimbusRomNo9L" w:hAnsi="NimbusRomNo9L"/>
          <w:lang w:eastAsia="ja-JP"/>
        </w:rPr>
        <w:t>[2]</w:t>
      </w:r>
      <w:r w:rsidR="00C12FE3">
        <w:rPr>
          <w:rFonts w:ascii="NimbusRomNo9L" w:hAnsi="NimbusRomNo9L"/>
          <w:lang w:eastAsia="ja-JP"/>
        </w:rPr>
        <w:tab/>
      </w:r>
      <w:r w:rsidRPr="00D620B3">
        <w:rPr>
          <w:rFonts w:ascii="NimbusRomNo9L" w:hAnsi="NimbusRomNo9L"/>
        </w:rPr>
        <w:t xml:space="preserve">J. F. Fuller, E. F. Fuchs, and K. J. Roesler, "Influence of harmonics on power distribution system protection," </w:t>
      </w:r>
      <w:r w:rsidRPr="00D620B3">
        <w:rPr>
          <w:rFonts w:ascii="NimbusRomNo9L" w:hAnsi="NimbusRomNo9L"/>
          <w:i/>
        </w:rPr>
        <w:t>IEEE Trans. Power Delivery</w:t>
      </w:r>
      <w:r w:rsidRPr="00D620B3">
        <w:rPr>
          <w:rFonts w:ascii="NimbusRomNo9L" w:hAnsi="NimbusRomNo9L"/>
        </w:rPr>
        <w:t>, vol. 3, pp. 549-557, Apr. 1988.</w:t>
      </w:r>
    </w:p>
    <w:p w14:paraId="423CF6E9" w14:textId="77E2339E"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[3]</w:t>
      </w:r>
      <w:r w:rsidR="00C12FE3">
        <w:rPr>
          <w:rFonts w:ascii="NimbusRomNo9L" w:hAnsi="NimbusRomNo9L"/>
          <w:lang w:eastAsia="ja-JP"/>
        </w:rPr>
        <w:tab/>
      </w:r>
      <w:r w:rsidRPr="00D620B3">
        <w:rPr>
          <w:rFonts w:ascii="NimbusRomNo9L" w:hAnsi="NimbusRomNo9L"/>
        </w:rPr>
        <w:t xml:space="preserve">R. J. Vidmar. (1992, Aug.). On the use of atmospheric plasmas as electromagnetic reflectors. </w:t>
      </w:r>
      <w:r w:rsidRPr="00D620B3">
        <w:rPr>
          <w:rFonts w:ascii="NimbusRomNo9L" w:hAnsi="NimbusRomNo9L"/>
          <w:i/>
        </w:rPr>
        <w:t>IEEE Trans. Plasma Sci.</w:t>
      </w:r>
      <w:r w:rsidRPr="00D620B3">
        <w:rPr>
          <w:rFonts w:ascii="NimbusRomNo9L" w:hAnsi="NimbusRomNo9L"/>
        </w:rPr>
        <w:t xml:space="preserve"> [Online]. </w:t>
      </w:r>
      <w:r w:rsidRPr="00D620B3">
        <w:rPr>
          <w:rFonts w:ascii="NimbusRomNo9L" w:hAnsi="NimbusRomNo9L"/>
          <w:i/>
        </w:rPr>
        <w:t>21(3)</w:t>
      </w:r>
      <w:r w:rsidRPr="00D620B3">
        <w:rPr>
          <w:rFonts w:ascii="NimbusRomNo9L" w:hAnsi="NimbusRomNo9L"/>
        </w:rPr>
        <w:t xml:space="preserve">, pp. </w:t>
      </w:r>
    </w:p>
    <w:p w14:paraId="37D9190B" w14:textId="7E66ADAE"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[4]</w:t>
      </w:r>
      <w:r w:rsidR="00C12FE3">
        <w:rPr>
          <w:rFonts w:ascii="NimbusRomNo9L" w:hAnsi="NimbusRomNo9L"/>
          <w:lang w:eastAsia="ja-JP"/>
        </w:rPr>
        <w:tab/>
      </w:r>
      <w:r w:rsidRPr="00D620B3">
        <w:rPr>
          <w:rFonts w:ascii="NimbusRomNo9L" w:hAnsi="NimbusRomNo9L"/>
        </w:rPr>
        <w:t xml:space="preserve">E. Clarke, </w:t>
      </w:r>
      <w:r w:rsidRPr="00D620B3">
        <w:rPr>
          <w:rFonts w:ascii="NimbusRomNo9L" w:hAnsi="NimbusRomNo9L"/>
          <w:i/>
        </w:rPr>
        <w:t>Circuit Analysis of AC Power Systems</w:t>
      </w:r>
      <w:r w:rsidRPr="00D620B3">
        <w:rPr>
          <w:rFonts w:ascii="NimbusRomNo9L" w:hAnsi="NimbusRomNo9L"/>
        </w:rPr>
        <w:t xml:space="preserve">, vol. I.  New York: Wiley, 1950, p. 81. </w:t>
      </w:r>
    </w:p>
    <w:p w14:paraId="1EA29104" w14:textId="6249C958"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[5]</w:t>
      </w:r>
      <w:r w:rsidR="00C12FE3">
        <w:rPr>
          <w:rFonts w:ascii="NimbusRomNo9L" w:hAnsi="NimbusRomNo9L"/>
          <w:lang w:eastAsia="ja-JP"/>
        </w:rPr>
        <w:tab/>
      </w:r>
      <w:r w:rsidRPr="00D620B3">
        <w:rPr>
          <w:rFonts w:ascii="NimbusRomNo9L" w:hAnsi="NimbusRomNo9L"/>
        </w:rPr>
        <w:t>E. E. Reber, R. L. Mitchell, and C. J. Carter, "Oxygen absorption in the Earth's atmosphere," Aerospace Corp., Los Angeles, CA, Tech. Rep. TR-0200 (4230-46)-3, Nov. 1968.</w:t>
      </w:r>
    </w:p>
    <w:p w14:paraId="5DA20E02" w14:textId="6D594C39"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[6]</w:t>
      </w:r>
      <w:r w:rsidR="00C12FE3">
        <w:rPr>
          <w:rFonts w:ascii="NimbusRomNo9L" w:hAnsi="NimbusRomNo9L"/>
          <w:lang w:eastAsia="ja-JP"/>
        </w:rPr>
        <w:tab/>
      </w:r>
      <w:r w:rsidRPr="00D620B3">
        <w:rPr>
          <w:rFonts w:ascii="NimbusRomNo9L" w:hAnsi="NimbusRomNo9L"/>
        </w:rPr>
        <w:t>Y. Yorozu, M. Hirano, K. Oka, and Y. Tagawa, “Electron spectroscopy studies on magneto-optical media and plastic substrate interface,” IEEE Transl. J. Magn. Japan, vol. 2, pp. 740–741, August 1987 [Digests 9th Annual Conf. Magnetics Japan, p. 301, 1982].</w:t>
      </w:r>
    </w:p>
    <w:p w14:paraId="2D004E7A" w14:textId="1D8FCECF"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[7]</w:t>
      </w:r>
      <w:r w:rsidR="00C12FE3">
        <w:rPr>
          <w:rFonts w:ascii="NimbusRomNo9L" w:hAnsi="NimbusRomNo9L"/>
          <w:lang w:eastAsia="ja-JP"/>
        </w:rPr>
        <w:tab/>
      </w:r>
      <w:r w:rsidRPr="00D620B3">
        <w:rPr>
          <w:rFonts w:ascii="NimbusRomNo9L" w:hAnsi="NimbusRomNo9L"/>
        </w:rPr>
        <w:t xml:space="preserve">L. </w:t>
      </w:r>
      <w:proofErr w:type="spellStart"/>
      <w:r w:rsidRPr="00D620B3">
        <w:rPr>
          <w:rFonts w:ascii="NimbusRomNo9L" w:hAnsi="NimbusRomNo9L"/>
        </w:rPr>
        <w:t>Alqueres</w:t>
      </w:r>
      <w:proofErr w:type="spellEnd"/>
      <w:r w:rsidRPr="00D620B3">
        <w:rPr>
          <w:rFonts w:ascii="NimbusRomNo9L" w:hAnsi="NimbusRomNo9L"/>
        </w:rPr>
        <w:t xml:space="preserve"> and J. C. </w:t>
      </w:r>
      <w:proofErr w:type="spellStart"/>
      <w:r w:rsidRPr="00D620B3">
        <w:rPr>
          <w:rFonts w:ascii="NimbusRomNo9L" w:hAnsi="NimbusRomNo9L"/>
        </w:rPr>
        <w:t>Praca</w:t>
      </w:r>
      <w:proofErr w:type="spellEnd"/>
      <w:r w:rsidRPr="00D620B3">
        <w:rPr>
          <w:rFonts w:ascii="NimbusRomNo9L" w:hAnsi="NimbusRomNo9L"/>
        </w:rPr>
        <w:t xml:space="preserve">, "The Brazilian power system and the challenge of the Amazon transmission," in </w:t>
      </w:r>
      <w:r w:rsidRPr="00D620B3">
        <w:rPr>
          <w:rFonts w:ascii="NimbusRomNo9L" w:hAnsi="NimbusRomNo9L"/>
          <w:i/>
        </w:rPr>
        <w:t>Proc. 1991 IEEE Power Engineering Society Transmission and Distribution Conf.</w:t>
      </w:r>
      <w:r w:rsidRPr="00D620B3">
        <w:rPr>
          <w:rFonts w:ascii="NimbusRomNo9L" w:hAnsi="NimbusRomNo9L"/>
        </w:rPr>
        <w:t>, pp. 315-320</w:t>
      </w:r>
    </w:p>
    <w:p w14:paraId="7FCF596F" w14:textId="77777777" w:rsidR="0038267E" w:rsidRPr="00D620B3" w:rsidRDefault="0038267E" w:rsidP="009B7EA5">
      <w:pPr>
        <w:pStyle w:val="References"/>
        <w:spacing w:line="230" w:lineRule="exact"/>
        <w:rPr>
          <w:rFonts w:ascii="NimbusRomNo9L" w:hAnsi="NimbusRomNo9L"/>
          <w:lang w:eastAsia="ja-JP"/>
        </w:rPr>
      </w:pPr>
    </w:p>
    <w:p w14:paraId="69B992F1" w14:textId="77777777" w:rsidR="0038267E" w:rsidRPr="00D620B3" w:rsidRDefault="0038267E" w:rsidP="009B7EA5">
      <w:pPr>
        <w:pStyle w:val="References"/>
        <w:spacing w:line="230" w:lineRule="exact"/>
        <w:ind w:left="0" w:firstLine="0"/>
        <w:rPr>
          <w:rFonts w:ascii="NimbusRomNo9L" w:hAnsi="NimbusRomNo9L"/>
          <w:lang w:eastAsia="ja-JP"/>
        </w:rPr>
      </w:pPr>
    </w:p>
    <w:sectPr w:rsidR="0038267E" w:rsidRPr="00D620B3" w:rsidSect="00F4507D">
      <w:pgSz w:w="11900" w:h="16840" w:code="9"/>
      <w:pgMar w:top="1247" w:right="822" w:bottom="1134" w:left="822" w:header="720" w:footer="72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6658E" w14:textId="77777777" w:rsidR="00271528" w:rsidRDefault="00271528" w:rsidP="00976CF3">
      <w:r>
        <w:separator/>
      </w:r>
    </w:p>
  </w:endnote>
  <w:endnote w:type="continuationSeparator" w:id="0">
    <w:p w14:paraId="404B6E54" w14:textId="77777777" w:rsidR="00271528" w:rsidRDefault="00271528" w:rsidP="0097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embedRegular r:id="rId1" w:fontKey="{D951D4F4-78E2-4759-8FC4-56FC3369BF91}"/>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imbusRomNo9L">
    <w:panose1 w:val="00000500000000000000"/>
    <w:charset w:val="00"/>
    <w:family w:val="modern"/>
    <w:notTrueType/>
    <w:pitch w:val="variable"/>
    <w:sig w:usb0="00000287" w:usb1="00000000" w:usb2="00000000" w:usb3="00000000" w:csb0="0000009F" w:csb1="00000000"/>
  </w:font>
  <w:font w:name="Times New Roman (Headings CS)">
    <w:altName w:val="Times New Roman"/>
    <w:charset w:val="00"/>
    <w:family w:val="roman"/>
    <w:pitch w:val="default"/>
  </w:font>
  <w:font w:name="MS Mincho">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FC3DF" w14:textId="77777777" w:rsidR="00271528" w:rsidRDefault="00271528" w:rsidP="00976CF3">
      <w:r>
        <w:separator/>
      </w:r>
    </w:p>
  </w:footnote>
  <w:footnote w:type="continuationSeparator" w:id="0">
    <w:p w14:paraId="0059AF7A" w14:textId="77777777" w:rsidR="00271528" w:rsidRDefault="00271528" w:rsidP="0097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47B"/>
    <w:multiLevelType w:val="hybridMultilevel"/>
    <w:tmpl w:val="97DEC910"/>
    <w:lvl w:ilvl="0" w:tplc="B48862AA">
      <w:start w:val="1"/>
      <w:numFmt w:val="upperRoman"/>
      <w:lvlText w:val="%1."/>
      <w:lvlJc w:val="left"/>
      <w:pPr>
        <w:ind w:left="1008" w:hanging="72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abstractNum w:abstractNumId="1" w15:restartNumberingAfterBreak="0">
    <w:nsid w:val="10ED08A1"/>
    <w:multiLevelType w:val="hybridMultilevel"/>
    <w:tmpl w:val="B264392A"/>
    <w:lvl w:ilvl="0" w:tplc="B8A05D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1D0539"/>
    <w:multiLevelType w:val="hybridMultilevel"/>
    <w:tmpl w:val="30EE72DC"/>
    <w:lvl w:ilvl="0" w:tplc="860E5C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B22705"/>
    <w:multiLevelType w:val="multilevel"/>
    <w:tmpl w:val="0D34D6AC"/>
    <w:styleLink w:val="CurrentList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EC0130A"/>
    <w:multiLevelType w:val="multilevel"/>
    <w:tmpl w:val="556EBD3E"/>
    <w:lvl w:ilvl="0">
      <w:start w:val="1"/>
      <w:numFmt w:val="upperRoman"/>
      <w:lvlText w:val="%1."/>
      <w:lvlJc w:val="left"/>
      <w:pPr>
        <w:ind w:left="0" w:firstLine="0"/>
      </w:pPr>
      <w:rPr>
        <w:rFonts w:hint="default"/>
      </w:rPr>
    </w:lvl>
    <w:lvl w:ilvl="1">
      <w:start w:val="1"/>
      <w:numFmt w:val="upperLetter"/>
      <w:pStyle w:val="berschrift2"/>
      <w:suff w:val="space"/>
      <w:lvlText w:val="%2."/>
      <w:lvlJc w:val="left"/>
      <w:pPr>
        <w:ind w:left="720" w:hanging="432"/>
      </w:pPr>
    </w:lvl>
    <w:lvl w:ilvl="2">
      <w:start w:val="1"/>
      <w:numFmt w:val="decimal"/>
      <w:pStyle w:val="berschrift3"/>
      <w:lvlText w:val="%3."/>
      <w:lvlJc w:val="left"/>
      <w:pPr>
        <w:ind w:left="1440" w:firstLine="0"/>
      </w:pPr>
      <w:rPr>
        <w:rFonts w:hint="default"/>
      </w:rPr>
    </w:lvl>
    <w:lvl w:ilvl="3">
      <w:start w:val="1"/>
      <w:numFmt w:val="lowerLetter"/>
      <w:pStyle w:val="berschrift4"/>
      <w:lvlText w:val="%4)"/>
      <w:lvlJc w:val="left"/>
      <w:pPr>
        <w:ind w:left="2160" w:firstLine="0"/>
      </w:pPr>
      <w:rPr>
        <w:rFonts w:hint="default"/>
      </w:rPr>
    </w:lvl>
    <w:lvl w:ilvl="4">
      <w:start w:val="1"/>
      <w:numFmt w:val="decimal"/>
      <w:pStyle w:val="berschrift5"/>
      <w:lvlText w:val="(%5)"/>
      <w:lvlJc w:val="left"/>
      <w:pPr>
        <w:ind w:left="2880" w:firstLine="0"/>
      </w:pPr>
      <w:rPr>
        <w:rFonts w:hint="default"/>
      </w:rPr>
    </w:lvl>
    <w:lvl w:ilvl="5">
      <w:start w:val="1"/>
      <w:numFmt w:val="lowerLetter"/>
      <w:pStyle w:val="berschrift6"/>
      <w:lvlText w:val="(%6)"/>
      <w:lvlJc w:val="left"/>
      <w:pPr>
        <w:ind w:left="3600" w:firstLine="0"/>
      </w:pPr>
      <w:rPr>
        <w:rFonts w:hint="default"/>
      </w:rPr>
    </w:lvl>
    <w:lvl w:ilvl="6">
      <w:start w:val="1"/>
      <w:numFmt w:val="lowerRoman"/>
      <w:pStyle w:val="berschrift7"/>
      <w:lvlText w:val="(%7)"/>
      <w:lvlJc w:val="left"/>
      <w:pPr>
        <w:ind w:left="4320" w:firstLine="0"/>
      </w:pPr>
      <w:rPr>
        <w:rFonts w:hint="default"/>
      </w:rPr>
    </w:lvl>
    <w:lvl w:ilvl="7">
      <w:start w:val="1"/>
      <w:numFmt w:val="lowerLetter"/>
      <w:pStyle w:val="berschrift8"/>
      <w:lvlText w:val="(%8)"/>
      <w:lvlJc w:val="left"/>
      <w:pPr>
        <w:ind w:left="5040" w:firstLine="0"/>
      </w:pPr>
      <w:rPr>
        <w:rFonts w:hint="default"/>
      </w:rPr>
    </w:lvl>
    <w:lvl w:ilvl="8">
      <w:start w:val="1"/>
      <w:numFmt w:val="lowerRoman"/>
      <w:pStyle w:val="berschrift9"/>
      <w:lvlText w:val="(%9)"/>
      <w:lvlJc w:val="left"/>
      <w:pPr>
        <w:ind w:left="5760" w:firstLine="0"/>
      </w:pPr>
      <w:rPr>
        <w:rFonts w:hint="default"/>
      </w:rPr>
    </w:lvl>
  </w:abstractNum>
  <w:abstractNum w:abstractNumId="6" w15:restartNumberingAfterBreak="0">
    <w:nsid w:val="486D2EC4"/>
    <w:multiLevelType w:val="hybridMultilevel"/>
    <w:tmpl w:val="E3A0F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B01F2"/>
    <w:multiLevelType w:val="hybridMultilevel"/>
    <w:tmpl w:val="C4045DCC"/>
    <w:lvl w:ilvl="0" w:tplc="31C012D6">
      <w:start w:val="1"/>
      <w:numFmt w:val="upperRoman"/>
      <w:pStyle w:val="berschrift1"/>
      <w:lvlText w:val="%1."/>
      <w:lvlJc w:val="righ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63908085">
    <w:abstractNumId w:val="4"/>
  </w:num>
  <w:num w:numId="2" w16cid:durableId="1929996205">
    <w:abstractNumId w:val="8"/>
  </w:num>
  <w:num w:numId="3" w16cid:durableId="1705249473">
    <w:abstractNumId w:val="5"/>
  </w:num>
  <w:num w:numId="4" w16cid:durableId="373503272">
    <w:abstractNumId w:val="6"/>
  </w:num>
  <w:num w:numId="5" w16cid:durableId="2004310304">
    <w:abstractNumId w:val="1"/>
  </w:num>
  <w:num w:numId="6" w16cid:durableId="101146464">
    <w:abstractNumId w:val="2"/>
  </w:num>
  <w:num w:numId="7" w16cid:durableId="450133530">
    <w:abstractNumId w:val="3"/>
  </w:num>
  <w:num w:numId="8" w16cid:durableId="78018209">
    <w:abstractNumId w:val="7"/>
  </w:num>
  <w:num w:numId="9" w16cid:durableId="30158963">
    <w:abstractNumId w:val="0"/>
  </w:num>
  <w:num w:numId="10" w16cid:durableId="1124158555">
    <w:abstractNumId w:val="7"/>
  </w:num>
  <w:num w:numId="11" w16cid:durableId="1353805701">
    <w:abstractNumId w:val="5"/>
  </w:num>
  <w:num w:numId="12" w16cid:durableId="860053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9619831">
    <w:abstractNumId w:val="5"/>
  </w:num>
  <w:num w:numId="14" w16cid:durableId="1728063296">
    <w:abstractNumId w:val="5"/>
  </w:num>
  <w:num w:numId="15" w16cid:durableId="583149119">
    <w:abstractNumId w:val="5"/>
  </w:num>
  <w:num w:numId="16" w16cid:durableId="1035737375">
    <w:abstractNumId w:val="5"/>
  </w:num>
  <w:num w:numId="17" w16cid:durableId="1352683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0850785">
    <w:abstractNumId w:val="5"/>
  </w:num>
  <w:num w:numId="19" w16cid:durableId="1842158029">
    <w:abstractNumId w:val="5"/>
  </w:num>
  <w:num w:numId="20" w16cid:durableId="1316452585">
    <w:abstractNumId w:val="5"/>
  </w:num>
  <w:num w:numId="21" w16cid:durableId="58484389">
    <w:abstractNumId w:val="5"/>
  </w:num>
  <w:num w:numId="22" w16cid:durableId="954213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3084903">
    <w:abstractNumId w:val="5"/>
  </w:num>
  <w:num w:numId="24" w16cid:durableId="17136476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1144971">
    <w:abstractNumId w:val="5"/>
  </w:num>
  <w:num w:numId="26" w16cid:durableId="2069381118">
    <w:abstractNumId w:val="5"/>
  </w:num>
  <w:num w:numId="27" w16cid:durableId="1512140653">
    <w:abstractNumId w:val="7"/>
  </w:num>
  <w:num w:numId="28" w16cid:durableId="273828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embedSystemFonts/>
  <w:saveSubset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7E"/>
    <w:rsid w:val="000814B1"/>
    <w:rsid w:val="000817B4"/>
    <w:rsid w:val="001852BD"/>
    <w:rsid w:val="001E6490"/>
    <w:rsid w:val="00266ECD"/>
    <w:rsid w:val="00271528"/>
    <w:rsid w:val="002A3B1C"/>
    <w:rsid w:val="00315D73"/>
    <w:rsid w:val="00324D13"/>
    <w:rsid w:val="00380F53"/>
    <w:rsid w:val="0038267E"/>
    <w:rsid w:val="003B652B"/>
    <w:rsid w:val="003C0FA7"/>
    <w:rsid w:val="003C4EFB"/>
    <w:rsid w:val="003E120A"/>
    <w:rsid w:val="005345BB"/>
    <w:rsid w:val="0055253D"/>
    <w:rsid w:val="00575979"/>
    <w:rsid w:val="005C33EA"/>
    <w:rsid w:val="00626202"/>
    <w:rsid w:val="00626E00"/>
    <w:rsid w:val="006407E3"/>
    <w:rsid w:val="0067580F"/>
    <w:rsid w:val="006C4F3B"/>
    <w:rsid w:val="006E0827"/>
    <w:rsid w:val="00723C6D"/>
    <w:rsid w:val="00752719"/>
    <w:rsid w:val="00773DAD"/>
    <w:rsid w:val="00852A5D"/>
    <w:rsid w:val="00904A86"/>
    <w:rsid w:val="00956BEA"/>
    <w:rsid w:val="00976CF3"/>
    <w:rsid w:val="009B7EA5"/>
    <w:rsid w:val="00AA4D53"/>
    <w:rsid w:val="00AB15A6"/>
    <w:rsid w:val="00B3383E"/>
    <w:rsid w:val="00BF7413"/>
    <w:rsid w:val="00C12FE3"/>
    <w:rsid w:val="00C62567"/>
    <w:rsid w:val="00CA7F22"/>
    <w:rsid w:val="00CB3D88"/>
    <w:rsid w:val="00CD62B3"/>
    <w:rsid w:val="00CE08C6"/>
    <w:rsid w:val="00D620B3"/>
    <w:rsid w:val="00DA7B20"/>
    <w:rsid w:val="00E04581"/>
    <w:rsid w:val="00E2120D"/>
    <w:rsid w:val="00E91D41"/>
    <w:rsid w:val="00F1254A"/>
    <w:rsid w:val="00F13B8D"/>
    <w:rsid w:val="00F4507D"/>
    <w:rsid w:val="00FC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35D9"/>
  <w15:chartTrackingRefBased/>
  <w15:docId w15:val="{8B8D272B-A377-7E43-98A3-965B242A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67E"/>
    <w:pPr>
      <w:spacing w:after="0" w:line="240" w:lineRule="auto"/>
      <w:jc w:val="center"/>
    </w:pPr>
    <w:rPr>
      <w:rFonts w:ascii="Times New Roman" w:eastAsiaTheme="minorEastAsia" w:hAnsi="Times New Roman" w:cs="Times New Roman"/>
      <w:kern w:val="0"/>
      <w:sz w:val="20"/>
      <w:szCs w:val="20"/>
      <w14:ligatures w14:val="none"/>
    </w:rPr>
  </w:style>
  <w:style w:type="paragraph" w:styleId="berschrift1">
    <w:name w:val="heading 1"/>
    <w:basedOn w:val="Standard"/>
    <w:next w:val="Standard"/>
    <w:link w:val="berschrift1Zchn"/>
    <w:qFormat/>
    <w:rsid w:val="00976CF3"/>
    <w:pPr>
      <w:keepNext/>
      <w:keepLines/>
      <w:numPr>
        <w:numId w:val="8"/>
      </w:numPr>
      <w:spacing w:before="160" w:after="80"/>
      <w:outlineLvl w:val="0"/>
    </w:pPr>
    <w:rPr>
      <w:rFonts w:ascii="NimbusRomNo9L" w:eastAsiaTheme="majorEastAsia" w:hAnsi="NimbusRomNo9L" w:cs="Times New Roman (Headings CS)"/>
      <w:b/>
      <w:smallCaps/>
      <w:color w:val="000000" w:themeColor="text1"/>
      <w:szCs w:val="40"/>
    </w:rPr>
  </w:style>
  <w:style w:type="paragraph" w:styleId="berschrift2">
    <w:name w:val="heading 2"/>
    <w:basedOn w:val="Standard"/>
    <w:next w:val="Standard"/>
    <w:link w:val="berschrift2Zchn"/>
    <w:unhideWhenUsed/>
    <w:qFormat/>
    <w:rsid w:val="00FC3C28"/>
    <w:pPr>
      <w:keepNext/>
      <w:keepLines/>
      <w:numPr>
        <w:ilvl w:val="1"/>
        <w:numId w:val="3"/>
      </w:numPr>
      <w:spacing w:before="160" w:after="80" w:line="24" w:lineRule="atLeast"/>
      <w:jc w:val="left"/>
      <w:outlineLvl w:val="1"/>
    </w:pPr>
    <w:rPr>
      <w:rFonts w:ascii="NimbusRomNo9L" w:eastAsia="MS Mincho" w:hAnsi="NimbusRomNo9L" w:cstheme="majorBidi"/>
      <w:i/>
      <w:color w:val="000000" w:themeColor="text1"/>
      <w:szCs w:val="32"/>
    </w:rPr>
  </w:style>
  <w:style w:type="paragraph" w:styleId="berschrift3">
    <w:name w:val="heading 3"/>
    <w:basedOn w:val="Standard"/>
    <w:next w:val="Standard"/>
    <w:link w:val="berschrift3Zchn"/>
    <w:unhideWhenUsed/>
    <w:qFormat/>
    <w:rsid w:val="00626202"/>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nhideWhenUsed/>
    <w:qFormat/>
    <w:rsid w:val="00626202"/>
    <w:pPr>
      <w:keepNext/>
      <w:keepLines/>
      <w:numPr>
        <w:ilvl w:val="3"/>
        <w:numId w:val="3"/>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626202"/>
    <w:pPr>
      <w:keepNext/>
      <w:keepLines/>
      <w:numPr>
        <w:ilvl w:val="4"/>
        <w:numId w:val="3"/>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6202"/>
    <w:pPr>
      <w:keepNext/>
      <w:keepLines/>
      <w:numPr>
        <w:ilvl w:val="5"/>
        <w:numId w:val="3"/>
      </w:numPr>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6202"/>
    <w:pPr>
      <w:keepNext/>
      <w:keepLines/>
      <w:numPr>
        <w:ilvl w:val="6"/>
        <w:numId w:val="3"/>
      </w:numPr>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6202"/>
    <w:pPr>
      <w:keepNext/>
      <w:keepLines/>
      <w:numPr>
        <w:ilvl w:val="7"/>
        <w:numId w:val="3"/>
      </w:numPr>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6202"/>
    <w:pPr>
      <w:keepNext/>
      <w:keepLines/>
      <w:numPr>
        <w:ilvl w:val="8"/>
        <w:numId w:val="3"/>
      </w:numPr>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76CF3"/>
    <w:rPr>
      <w:rFonts w:ascii="NimbusRomNo9L" w:eastAsiaTheme="majorEastAsia" w:hAnsi="NimbusRomNo9L" w:cs="Times New Roman (Headings CS)"/>
      <w:b/>
      <w:smallCaps/>
      <w:color w:val="000000" w:themeColor="text1"/>
      <w:kern w:val="0"/>
      <w:sz w:val="20"/>
      <w:szCs w:val="40"/>
      <w14:ligatures w14:val="none"/>
    </w:rPr>
  </w:style>
  <w:style w:type="character" w:customStyle="1" w:styleId="berschrift2Zchn">
    <w:name w:val="Überschrift 2 Zchn"/>
    <w:basedOn w:val="Absatz-Standardschriftart"/>
    <w:link w:val="berschrift2"/>
    <w:rsid w:val="00FC3C28"/>
    <w:rPr>
      <w:rFonts w:ascii="NimbusRomNo9L" w:eastAsia="MS Mincho" w:hAnsi="NimbusRomNo9L" w:cstheme="majorBidi"/>
      <w:i/>
      <w:color w:val="000000" w:themeColor="text1"/>
      <w:kern w:val="0"/>
      <w:sz w:val="20"/>
      <w:szCs w:val="32"/>
      <w14:ligatures w14:val="none"/>
    </w:rPr>
  </w:style>
  <w:style w:type="character" w:customStyle="1" w:styleId="berschrift3Zchn">
    <w:name w:val="Überschrift 3 Zchn"/>
    <w:basedOn w:val="Absatz-Standardschriftart"/>
    <w:link w:val="berschrift3"/>
    <w:uiPriority w:val="9"/>
    <w:semiHidden/>
    <w:rsid w:val="003826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826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826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826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26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26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267E"/>
    <w:rPr>
      <w:rFonts w:eastAsiaTheme="majorEastAsia" w:cstheme="majorBidi"/>
      <w:color w:val="272727" w:themeColor="text1" w:themeTint="D8"/>
    </w:rPr>
  </w:style>
  <w:style w:type="paragraph" w:styleId="Titel">
    <w:name w:val="Title"/>
    <w:basedOn w:val="Standard"/>
    <w:next w:val="Standard"/>
    <w:link w:val="TitelZchn"/>
    <w:uiPriority w:val="10"/>
    <w:qFormat/>
    <w:rsid w:val="0038267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26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26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26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267E"/>
    <w:pPr>
      <w:spacing w:before="160"/>
    </w:pPr>
    <w:rPr>
      <w:i/>
      <w:iCs/>
      <w:color w:val="404040" w:themeColor="text1" w:themeTint="BF"/>
    </w:rPr>
  </w:style>
  <w:style w:type="character" w:customStyle="1" w:styleId="ZitatZchn">
    <w:name w:val="Zitat Zchn"/>
    <w:basedOn w:val="Absatz-Standardschriftart"/>
    <w:link w:val="Zitat"/>
    <w:uiPriority w:val="29"/>
    <w:rsid w:val="0038267E"/>
    <w:rPr>
      <w:i/>
      <w:iCs/>
      <w:color w:val="404040" w:themeColor="text1" w:themeTint="BF"/>
    </w:rPr>
  </w:style>
  <w:style w:type="paragraph" w:styleId="Listenabsatz">
    <w:name w:val="List Paragraph"/>
    <w:basedOn w:val="Standard"/>
    <w:uiPriority w:val="34"/>
    <w:qFormat/>
    <w:rsid w:val="0038267E"/>
    <w:pPr>
      <w:ind w:left="720"/>
      <w:contextualSpacing/>
    </w:pPr>
  </w:style>
  <w:style w:type="character" w:styleId="IntensiveHervorhebung">
    <w:name w:val="Intense Emphasis"/>
    <w:basedOn w:val="Absatz-Standardschriftart"/>
    <w:uiPriority w:val="21"/>
    <w:qFormat/>
    <w:rsid w:val="0038267E"/>
    <w:rPr>
      <w:i/>
      <w:iCs/>
      <w:color w:val="0F4761" w:themeColor="accent1" w:themeShade="BF"/>
    </w:rPr>
  </w:style>
  <w:style w:type="paragraph" w:styleId="IntensivesZitat">
    <w:name w:val="Intense Quote"/>
    <w:basedOn w:val="Standard"/>
    <w:next w:val="Standard"/>
    <w:link w:val="IntensivesZitatZchn"/>
    <w:uiPriority w:val="30"/>
    <w:qFormat/>
    <w:rsid w:val="0038267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ivesZitatZchn">
    <w:name w:val="Intensives Zitat Zchn"/>
    <w:basedOn w:val="Absatz-Standardschriftart"/>
    <w:link w:val="IntensivesZitat"/>
    <w:uiPriority w:val="30"/>
    <w:rsid w:val="0038267E"/>
    <w:rPr>
      <w:i/>
      <w:iCs/>
      <w:color w:val="0F4761" w:themeColor="accent1" w:themeShade="BF"/>
    </w:rPr>
  </w:style>
  <w:style w:type="character" w:styleId="IntensiverVerweis">
    <w:name w:val="Intense Reference"/>
    <w:basedOn w:val="Absatz-Standardschriftart"/>
    <w:uiPriority w:val="32"/>
    <w:qFormat/>
    <w:rsid w:val="0038267E"/>
    <w:rPr>
      <w:b/>
      <w:bCs/>
      <w:smallCaps/>
      <w:color w:val="0F4761" w:themeColor="accent1" w:themeShade="BF"/>
      <w:spacing w:val="5"/>
    </w:rPr>
  </w:style>
  <w:style w:type="paragraph" w:customStyle="1" w:styleId="Abstract">
    <w:name w:val="Abstract"/>
    <w:rsid w:val="0038267E"/>
    <w:pPr>
      <w:spacing w:after="200" w:line="240" w:lineRule="auto"/>
      <w:jc w:val="both"/>
    </w:pPr>
    <w:rPr>
      <w:rFonts w:ascii="Times New Roman" w:eastAsiaTheme="minorEastAsia" w:hAnsi="Times New Roman" w:cs="Times New Roman"/>
      <w:b/>
      <w:bCs/>
      <w:kern w:val="0"/>
      <w:sz w:val="18"/>
      <w:szCs w:val="18"/>
      <w14:ligatures w14:val="none"/>
    </w:rPr>
  </w:style>
  <w:style w:type="paragraph" w:styleId="Textkrper">
    <w:name w:val="Body Text"/>
    <w:basedOn w:val="Standard"/>
    <w:link w:val="TextkrperZchn"/>
    <w:rsid w:val="0038267E"/>
    <w:pPr>
      <w:spacing w:after="120" w:line="228" w:lineRule="auto"/>
      <w:ind w:firstLine="288"/>
      <w:jc w:val="both"/>
    </w:pPr>
    <w:rPr>
      <w:spacing w:val="-1"/>
    </w:rPr>
  </w:style>
  <w:style w:type="character" w:customStyle="1" w:styleId="TextkrperZchn">
    <w:name w:val="Textkörper Zchn"/>
    <w:basedOn w:val="Absatz-Standardschriftart"/>
    <w:link w:val="Textkrper"/>
    <w:rsid w:val="0038267E"/>
    <w:rPr>
      <w:rFonts w:ascii="Times New Roman" w:eastAsiaTheme="minorEastAsia" w:hAnsi="Times New Roman" w:cs="Times New Roman"/>
      <w:spacing w:val="-1"/>
      <w:kern w:val="0"/>
      <w:sz w:val="20"/>
      <w:szCs w:val="20"/>
      <w14:ligatures w14:val="none"/>
    </w:rPr>
  </w:style>
  <w:style w:type="paragraph" w:customStyle="1" w:styleId="bulletlist">
    <w:name w:val="bullet list"/>
    <w:basedOn w:val="Textkrper"/>
    <w:rsid w:val="0038267E"/>
    <w:pPr>
      <w:numPr>
        <w:numId w:val="1"/>
      </w:numPr>
      <w:tabs>
        <w:tab w:val="clear" w:pos="648"/>
      </w:tabs>
      <w:ind w:left="0" w:firstLine="0"/>
    </w:pPr>
  </w:style>
  <w:style w:type="paragraph" w:customStyle="1" w:styleId="equation">
    <w:name w:val="equation"/>
    <w:basedOn w:val="Standard"/>
    <w:rsid w:val="0038267E"/>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8267E"/>
    <w:pPr>
      <w:numPr>
        <w:numId w:val="2"/>
      </w:numPr>
      <w:tabs>
        <w:tab w:val="clear" w:pos="720"/>
      </w:tabs>
      <w:spacing w:before="80" w:after="200" w:line="240" w:lineRule="auto"/>
      <w:jc w:val="center"/>
    </w:pPr>
    <w:rPr>
      <w:rFonts w:ascii="Times New Roman" w:eastAsiaTheme="minorEastAsia" w:hAnsi="Times New Roman" w:cs="Times New Roman"/>
      <w:noProof/>
      <w:kern w:val="0"/>
      <w:sz w:val="16"/>
      <w:szCs w:val="16"/>
      <w14:ligatures w14:val="none"/>
    </w:rPr>
  </w:style>
  <w:style w:type="paragraph" w:customStyle="1" w:styleId="Text">
    <w:name w:val="Text"/>
    <w:basedOn w:val="Standard"/>
    <w:rsid w:val="0038267E"/>
    <w:pPr>
      <w:widowControl w:val="0"/>
      <w:spacing w:line="252" w:lineRule="auto"/>
      <w:ind w:firstLine="240"/>
      <w:jc w:val="both"/>
    </w:pPr>
  </w:style>
  <w:style w:type="paragraph" w:customStyle="1" w:styleId="References">
    <w:name w:val="References"/>
    <w:basedOn w:val="Listennummer"/>
    <w:rsid w:val="0038267E"/>
    <w:pPr>
      <w:tabs>
        <w:tab w:val="num" w:pos="360"/>
      </w:tabs>
      <w:ind w:left="360" w:hanging="360"/>
      <w:contextualSpacing w:val="0"/>
      <w:jc w:val="both"/>
    </w:pPr>
    <w:rPr>
      <w:sz w:val="16"/>
    </w:rPr>
  </w:style>
  <w:style w:type="paragraph" w:styleId="Listennummer">
    <w:name w:val="List Number"/>
    <w:basedOn w:val="Standard"/>
    <w:uiPriority w:val="99"/>
    <w:semiHidden/>
    <w:unhideWhenUsed/>
    <w:rsid w:val="0038267E"/>
    <w:pPr>
      <w:contextualSpacing/>
    </w:pPr>
  </w:style>
  <w:style w:type="character" w:styleId="Hyperlink">
    <w:name w:val="Hyperlink"/>
    <w:basedOn w:val="Absatz-Standardschriftart"/>
    <w:rsid w:val="0038267E"/>
    <w:rPr>
      <w:color w:val="467886" w:themeColor="hyperlink"/>
      <w:u w:val="single"/>
    </w:rPr>
  </w:style>
  <w:style w:type="table" w:styleId="Tabellenraster">
    <w:name w:val="Table Grid"/>
    <w:basedOn w:val="NormaleTabelle"/>
    <w:rsid w:val="0038267E"/>
    <w:pPr>
      <w:spacing w:after="0" w:line="240" w:lineRule="auto"/>
    </w:pPr>
    <w:rPr>
      <w:rFonts w:ascii="Times New Roman" w:eastAsiaTheme="minorEastAsia"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26202"/>
    <w:pPr>
      <w:numPr>
        <w:numId w:val="7"/>
      </w:numPr>
    </w:pPr>
  </w:style>
  <w:style w:type="paragraph" w:styleId="Kopfzeile">
    <w:name w:val="header"/>
    <w:basedOn w:val="Standard"/>
    <w:link w:val="KopfzeileZchn"/>
    <w:uiPriority w:val="99"/>
    <w:unhideWhenUsed/>
    <w:rsid w:val="00976CF3"/>
    <w:pPr>
      <w:tabs>
        <w:tab w:val="center" w:pos="4536"/>
        <w:tab w:val="right" w:pos="9072"/>
      </w:tabs>
    </w:pPr>
  </w:style>
  <w:style w:type="character" w:customStyle="1" w:styleId="KopfzeileZchn">
    <w:name w:val="Kopfzeile Zchn"/>
    <w:basedOn w:val="Absatz-Standardschriftart"/>
    <w:link w:val="Kopfzeile"/>
    <w:uiPriority w:val="99"/>
    <w:rsid w:val="00976CF3"/>
    <w:rPr>
      <w:rFonts w:ascii="Times New Roman" w:eastAsiaTheme="minorEastAsia" w:hAnsi="Times New Roman" w:cs="Times New Roman"/>
      <w:kern w:val="0"/>
      <w:sz w:val="20"/>
      <w:szCs w:val="20"/>
      <w14:ligatures w14:val="none"/>
    </w:rPr>
  </w:style>
  <w:style w:type="paragraph" w:styleId="Fuzeile">
    <w:name w:val="footer"/>
    <w:basedOn w:val="Standard"/>
    <w:link w:val="FuzeileZchn"/>
    <w:uiPriority w:val="99"/>
    <w:unhideWhenUsed/>
    <w:rsid w:val="00976CF3"/>
    <w:pPr>
      <w:tabs>
        <w:tab w:val="center" w:pos="4536"/>
        <w:tab w:val="right" w:pos="9072"/>
      </w:tabs>
    </w:pPr>
  </w:style>
  <w:style w:type="character" w:customStyle="1" w:styleId="FuzeileZchn">
    <w:name w:val="Fußzeile Zchn"/>
    <w:basedOn w:val="Absatz-Standardschriftart"/>
    <w:link w:val="Fuzeile"/>
    <w:uiPriority w:val="99"/>
    <w:rsid w:val="00976CF3"/>
    <w:rPr>
      <w:rFonts w:ascii="Times New Roman" w:eastAsiaTheme="minorEastAsia"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F1271-2E88-4099-84B1-1C96BAB2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7878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Waltl, Michael</dc:creator>
  <cp:keywords/>
  <dc:description/>
  <cp:lastModifiedBy>Wagenknecht, Sabrina Marion</cp:lastModifiedBy>
  <cp:revision>2</cp:revision>
  <cp:lastPrinted>2025-12-02T15:38:00Z</cp:lastPrinted>
  <dcterms:created xsi:type="dcterms:W3CDTF">2026-03-04T09:10:00Z</dcterms:created>
  <dcterms:modified xsi:type="dcterms:W3CDTF">2026-03-04T09:10:00Z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55e01438-b162-4db7-85a1-ba9b80ac8929</vt:lpwstr>
  </property>
</Properties>
</file>